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7C0AB" w14:textId="77777777" w:rsidR="005A0E01" w:rsidRDefault="00C3691A">
      <w:pPr>
        <w:pStyle w:val="NoSpacing"/>
        <w:jc w:val="center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1887C155" wp14:editId="1887C156">
            <wp:simplePos x="0" y="0"/>
            <wp:positionH relativeFrom="column">
              <wp:posOffset>-567055</wp:posOffset>
            </wp:positionH>
            <wp:positionV relativeFrom="paragraph">
              <wp:posOffset>-532130</wp:posOffset>
            </wp:positionV>
            <wp:extent cx="2857500" cy="72390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Highland PAC Meeting Minutes</w:t>
      </w:r>
    </w:p>
    <w:p w14:paraId="1887C0AC" w14:textId="77777777" w:rsidR="005A0E01" w:rsidRDefault="00C3691A">
      <w:pPr>
        <w:pStyle w:val="NoSpacing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January 19, 2026</w:t>
      </w:r>
    </w:p>
    <w:p w14:paraId="1887C0AD" w14:textId="77777777" w:rsidR="005A0E01" w:rsidRDefault="005A0E01">
      <w:pPr>
        <w:pStyle w:val="NoSpacing"/>
        <w:rPr>
          <w:sz w:val="24"/>
          <w:szCs w:val="24"/>
        </w:rPr>
      </w:pPr>
    </w:p>
    <w:p w14:paraId="1887C0AE" w14:textId="77777777" w:rsidR="005A0E01" w:rsidRDefault="00C369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In Attendance:</w:t>
      </w:r>
      <w:r>
        <w:rPr>
          <w:sz w:val="24"/>
          <w:szCs w:val="24"/>
        </w:rPr>
        <w:t xml:space="preserve">, Jennifer Vaino (Chair), Megan Cowling (DPAC alt rep), Gwen Elder (Treasurer), Brooke Finlayson (DPAC rep), Melissa Preston, Muriel Marc, Krista Tupper (Vice Chair), Kristen </w:t>
      </w:r>
      <w:r>
        <w:rPr>
          <w:sz w:val="24"/>
          <w:szCs w:val="24"/>
        </w:rPr>
        <w:t>Sanderson, Laura Roberts (Principal)</w:t>
      </w:r>
    </w:p>
    <w:p w14:paraId="1887C0AF" w14:textId="77777777" w:rsidR="005A0E01" w:rsidRDefault="005A0E01">
      <w:pPr>
        <w:pStyle w:val="NoSpacing"/>
        <w:rPr>
          <w:sz w:val="24"/>
          <w:szCs w:val="24"/>
        </w:rPr>
      </w:pPr>
    </w:p>
    <w:p w14:paraId="1887C0B0" w14:textId="77777777" w:rsidR="005A0E01" w:rsidRDefault="00C369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Online attendance</w:t>
      </w:r>
      <w:r>
        <w:rPr>
          <w:sz w:val="24"/>
          <w:szCs w:val="24"/>
        </w:rPr>
        <w:t>:  none</w:t>
      </w:r>
    </w:p>
    <w:p w14:paraId="1887C0B1" w14:textId="77777777" w:rsidR="005A0E01" w:rsidRDefault="005A0E01">
      <w:pPr>
        <w:pStyle w:val="NoSpacing"/>
        <w:rPr>
          <w:sz w:val="24"/>
          <w:szCs w:val="24"/>
        </w:rPr>
      </w:pPr>
    </w:p>
    <w:p w14:paraId="1887C0B2" w14:textId="77777777" w:rsidR="005A0E01" w:rsidRDefault="00C369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Regrets sent for</w:t>
      </w:r>
      <w:r>
        <w:rPr>
          <w:sz w:val="24"/>
          <w:szCs w:val="24"/>
        </w:rPr>
        <w:t>:  Susan Leslie (Trustee)</w:t>
      </w:r>
    </w:p>
    <w:p w14:paraId="1887C0B3" w14:textId="77777777" w:rsidR="005A0E01" w:rsidRDefault="005A0E01">
      <w:pPr>
        <w:pStyle w:val="NoSpacing"/>
        <w:rPr>
          <w:sz w:val="24"/>
          <w:szCs w:val="24"/>
        </w:rPr>
      </w:pPr>
    </w:p>
    <w:p w14:paraId="1887C0B4" w14:textId="77777777" w:rsidR="005A0E01" w:rsidRDefault="00C369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Meeting called to order at 7:00 pm</w:t>
      </w:r>
    </w:p>
    <w:p w14:paraId="1887C0B5" w14:textId="77777777" w:rsidR="005A0E01" w:rsidRDefault="005A0E01">
      <w:pPr>
        <w:pStyle w:val="NoSpacing"/>
        <w:rPr>
          <w:sz w:val="24"/>
          <w:szCs w:val="24"/>
        </w:rPr>
      </w:pPr>
    </w:p>
    <w:p w14:paraId="1887C0B6" w14:textId="77777777" w:rsidR="005A0E01" w:rsidRDefault="00C369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Acknowledgement:</w:t>
      </w:r>
      <w:r>
        <w:rPr>
          <w:sz w:val="24"/>
          <w:szCs w:val="24"/>
        </w:rPr>
        <w:t xml:space="preserve"> We would like to acknowledge that we are on the traditional territories of the K’omoks First Nat</w:t>
      </w:r>
      <w:r>
        <w:rPr>
          <w:sz w:val="24"/>
          <w:szCs w:val="24"/>
        </w:rPr>
        <w:t>ion.  We would like to thank them for the privilege of living on their land and the gift of working with their children.</w:t>
      </w:r>
    </w:p>
    <w:p w14:paraId="1887C0B7" w14:textId="77777777" w:rsidR="005A0E01" w:rsidRDefault="005A0E01">
      <w:pPr>
        <w:pStyle w:val="NoSpacing"/>
        <w:rPr>
          <w:sz w:val="24"/>
          <w:szCs w:val="24"/>
        </w:rPr>
      </w:pPr>
    </w:p>
    <w:p w14:paraId="1887C0B8" w14:textId="77777777" w:rsidR="005A0E01" w:rsidRDefault="00C369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Welcome &amp; Introductions</w:t>
      </w:r>
    </w:p>
    <w:p w14:paraId="1887C0B9" w14:textId="77777777" w:rsidR="005A0E01" w:rsidRDefault="005A0E01">
      <w:pPr>
        <w:pStyle w:val="NoSpacing"/>
        <w:rPr>
          <w:b/>
          <w:bCs/>
          <w:sz w:val="24"/>
          <w:szCs w:val="24"/>
          <w:u w:val="single"/>
        </w:rPr>
      </w:pPr>
    </w:p>
    <w:p w14:paraId="1887C0BA" w14:textId="77777777" w:rsidR="005A0E01" w:rsidRDefault="00C369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Guest Presentation </w:t>
      </w:r>
      <w:r>
        <w:rPr>
          <w:sz w:val="24"/>
          <w:szCs w:val="24"/>
        </w:rPr>
        <w:t>–  Jasdeep Singh – Capstone project.  To start sponsorship at Highland.  Has drafted a let</w:t>
      </w:r>
      <w:r>
        <w:rPr>
          <w:sz w:val="24"/>
          <w:szCs w:val="24"/>
        </w:rPr>
        <w:t>ter, 4 levels of sponsorship a contract.  Might have a chance before the school year is finished to try and solicit some sponsorship.</w:t>
      </w:r>
    </w:p>
    <w:p w14:paraId="1887C0BB" w14:textId="77777777" w:rsidR="005A0E01" w:rsidRDefault="005A0E01">
      <w:pPr>
        <w:pStyle w:val="NoSpacing"/>
        <w:rPr>
          <w:sz w:val="24"/>
          <w:szCs w:val="24"/>
        </w:rPr>
      </w:pPr>
    </w:p>
    <w:p w14:paraId="1887C0BC" w14:textId="77777777" w:rsidR="005A0E01" w:rsidRDefault="00C369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Approval of previous minutes (November 2025) </w:t>
      </w:r>
      <w:r>
        <w:rPr>
          <w:sz w:val="24"/>
          <w:szCs w:val="24"/>
        </w:rPr>
        <w:t>– Motioned by Melissa P; seconded by Krista T.  All in favour.  Motion carri</w:t>
      </w:r>
      <w:r>
        <w:rPr>
          <w:sz w:val="24"/>
          <w:szCs w:val="24"/>
        </w:rPr>
        <w:t>ed.</w:t>
      </w:r>
    </w:p>
    <w:p w14:paraId="1887C0BD" w14:textId="77777777" w:rsidR="005A0E01" w:rsidRDefault="005A0E01">
      <w:pPr>
        <w:pStyle w:val="NoSpacing"/>
        <w:rPr>
          <w:sz w:val="24"/>
          <w:szCs w:val="24"/>
        </w:rPr>
      </w:pPr>
    </w:p>
    <w:p w14:paraId="1887C0BE" w14:textId="77777777" w:rsidR="005A0E01" w:rsidRDefault="00C369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Approval of agenda</w:t>
      </w:r>
      <w:r>
        <w:rPr>
          <w:sz w:val="24"/>
          <w:szCs w:val="24"/>
        </w:rPr>
        <w:t xml:space="preserve"> –  Motioned by Muriel M; seconded by Melissa P.  All in favour.  Motion carried.  </w:t>
      </w:r>
    </w:p>
    <w:p w14:paraId="1887C0BF" w14:textId="77777777" w:rsidR="005A0E01" w:rsidRDefault="005A0E01">
      <w:pPr>
        <w:pStyle w:val="NoSpacing"/>
        <w:rPr>
          <w:sz w:val="24"/>
          <w:szCs w:val="24"/>
        </w:rPr>
      </w:pPr>
    </w:p>
    <w:p w14:paraId="1887C0C0" w14:textId="77777777" w:rsidR="005A0E01" w:rsidRDefault="00C369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Correspondence</w:t>
      </w:r>
      <w:r>
        <w:rPr>
          <w:sz w:val="24"/>
          <w:szCs w:val="24"/>
        </w:rPr>
        <w:t xml:space="preserve"> – none</w:t>
      </w:r>
    </w:p>
    <w:p w14:paraId="1887C0C1" w14:textId="77777777" w:rsidR="005A0E01" w:rsidRDefault="005A0E01">
      <w:pPr>
        <w:pStyle w:val="NoSpacing"/>
        <w:rPr>
          <w:sz w:val="24"/>
          <w:szCs w:val="24"/>
        </w:rPr>
      </w:pPr>
    </w:p>
    <w:p w14:paraId="1887C0C2" w14:textId="77777777" w:rsidR="005A0E01" w:rsidRDefault="00C369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REPORTS:</w:t>
      </w:r>
    </w:p>
    <w:p w14:paraId="1887C0C3" w14:textId="77777777" w:rsidR="005A0E01" w:rsidRDefault="005A0E01">
      <w:pPr>
        <w:pStyle w:val="NoSpacing"/>
        <w:jc w:val="center"/>
        <w:rPr>
          <w:sz w:val="24"/>
          <w:szCs w:val="24"/>
        </w:rPr>
      </w:pPr>
    </w:p>
    <w:p w14:paraId="1887C0C4" w14:textId="77777777" w:rsidR="005A0E01" w:rsidRDefault="00C369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Trustee Report </w:t>
      </w:r>
      <w:r>
        <w:rPr>
          <w:b/>
          <w:bCs/>
          <w:sz w:val="24"/>
          <w:szCs w:val="24"/>
        </w:rPr>
        <w:t>(Susan Leslie) Trustee report is in the attached DPAC minutes</w:t>
      </w:r>
    </w:p>
    <w:p w14:paraId="1887C0C5" w14:textId="77777777" w:rsidR="005A0E01" w:rsidRDefault="005A0E01">
      <w:pPr>
        <w:pStyle w:val="NoSpacing"/>
        <w:rPr>
          <w:sz w:val="24"/>
          <w:szCs w:val="24"/>
        </w:rPr>
      </w:pPr>
    </w:p>
    <w:p w14:paraId="1887C0C6" w14:textId="77777777" w:rsidR="005A0E01" w:rsidRDefault="00C369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Chair Report –</w:t>
      </w:r>
      <w:r>
        <w:rPr>
          <w:sz w:val="24"/>
          <w:szCs w:val="24"/>
        </w:rPr>
        <w:t xml:space="preserve"> none</w:t>
      </w:r>
    </w:p>
    <w:p w14:paraId="1887C0C7" w14:textId="77777777" w:rsidR="005A0E01" w:rsidRDefault="005A0E01">
      <w:pPr>
        <w:pStyle w:val="NoSpacing"/>
        <w:rPr>
          <w:sz w:val="24"/>
          <w:szCs w:val="24"/>
        </w:rPr>
      </w:pPr>
    </w:p>
    <w:p w14:paraId="1887C0C8" w14:textId="77777777" w:rsidR="005A0E01" w:rsidRDefault="00C369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Principal’s Report (Laura Roberts)</w:t>
      </w:r>
    </w:p>
    <w:p w14:paraId="1887C0C9" w14:textId="77777777" w:rsidR="005A0E01" w:rsidRDefault="00C3691A">
      <w:pPr>
        <w:pStyle w:val="NoSpacing"/>
      </w:pPr>
      <w:r>
        <w:rPr>
          <w:sz w:val="24"/>
          <w:szCs w:val="24"/>
        </w:rPr>
        <w:tab/>
        <w:t>- Highland has a new school logo, see attached</w:t>
      </w:r>
    </w:p>
    <w:p w14:paraId="1887C0CA" w14:textId="77777777" w:rsidR="005A0E01" w:rsidRDefault="00C3691A">
      <w:pPr>
        <w:pStyle w:val="NoSpacing"/>
      </w:pPr>
      <w:r>
        <w:rPr>
          <w:sz w:val="24"/>
          <w:szCs w:val="24"/>
        </w:rPr>
        <w:tab/>
        <w:t>- school is thinking about starting a physical store for merchandise</w:t>
      </w:r>
    </w:p>
    <w:p w14:paraId="1887C0CB" w14:textId="77777777" w:rsidR="005A0E01" w:rsidRDefault="00C3691A">
      <w:pPr>
        <w:pStyle w:val="NoSpacing"/>
      </w:pPr>
      <w:r>
        <w:rPr>
          <w:sz w:val="24"/>
          <w:szCs w:val="24"/>
        </w:rPr>
        <w:tab/>
        <w:t>- 1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semester ends Friday</w:t>
      </w:r>
    </w:p>
    <w:p w14:paraId="1887C0CC" w14:textId="77777777" w:rsidR="005A0E01" w:rsidRDefault="00C3691A">
      <w:pPr>
        <w:pStyle w:val="NoSpacing"/>
      </w:pPr>
      <w:r>
        <w:rPr>
          <w:sz w:val="24"/>
          <w:szCs w:val="24"/>
        </w:rPr>
        <w:tab/>
        <w:t>- course selection for next year starts soon, talk to your counsellor or V</w:t>
      </w:r>
      <w:r>
        <w:rPr>
          <w:sz w:val="24"/>
          <w:szCs w:val="24"/>
        </w:rPr>
        <w:t>P for options &amp; help</w:t>
      </w:r>
    </w:p>
    <w:p w14:paraId="1887C0CD" w14:textId="77777777" w:rsidR="005A0E01" w:rsidRDefault="00C3691A">
      <w:pPr>
        <w:pStyle w:val="NoSpacing"/>
      </w:pPr>
      <w:r>
        <w:rPr>
          <w:sz w:val="24"/>
          <w:szCs w:val="24"/>
        </w:rPr>
        <w:tab/>
        <w:t>- new staff will be listed in this week’s newsletter</w:t>
      </w:r>
    </w:p>
    <w:p w14:paraId="1887C0CE" w14:textId="77777777" w:rsidR="005A0E01" w:rsidRDefault="00C3691A">
      <w:pPr>
        <w:pStyle w:val="NoSpacing"/>
      </w:pPr>
      <w:r>
        <w:rPr>
          <w:sz w:val="24"/>
          <w:szCs w:val="24"/>
        </w:rPr>
        <w:tab/>
        <w:t>- student engagement has increased</w:t>
      </w:r>
    </w:p>
    <w:p w14:paraId="1887C0CF" w14:textId="77777777" w:rsidR="005A0E01" w:rsidRDefault="00C3691A">
      <w:pPr>
        <w:pStyle w:val="NoSpacing"/>
      </w:pPr>
      <w:r>
        <w:rPr>
          <w:sz w:val="24"/>
          <w:szCs w:val="24"/>
        </w:rPr>
        <w:lastRenderedPageBreak/>
        <w:tab/>
        <w:t>- basketball is happening now; rugby &amp; golf starting soon</w:t>
      </w:r>
    </w:p>
    <w:p w14:paraId="1887C0D0" w14:textId="77777777" w:rsidR="005A0E01" w:rsidRDefault="00C3691A">
      <w:pPr>
        <w:pStyle w:val="NoSpacing"/>
      </w:pPr>
      <w:r>
        <w:rPr>
          <w:sz w:val="24"/>
          <w:szCs w:val="24"/>
        </w:rPr>
        <w:tab/>
        <w:t>-staff added to Grade 8 electives to lighten the load</w:t>
      </w:r>
    </w:p>
    <w:p w14:paraId="1887C0D1" w14:textId="77777777" w:rsidR="005A0E01" w:rsidRDefault="00C3691A">
      <w:pPr>
        <w:pStyle w:val="NoSpacing"/>
      </w:pPr>
      <w:r>
        <w:rPr>
          <w:sz w:val="24"/>
          <w:szCs w:val="24"/>
        </w:rPr>
        <w:tab/>
        <w:t>- @ February’s meeting the Pri</w:t>
      </w:r>
      <w:r>
        <w:rPr>
          <w:sz w:val="24"/>
          <w:szCs w:val="24"/>
        </w:rPr>
        <w:t xml:space="preserve">ncipal will bring a copy of the school’s budget; Trust accounts were explained – all money raised or donated goes into a group’s trust account, has to be earmarked for a specific purpose. </w:t>
      </w:r>
    </w:p>
    <w:p w14:paraId="1887C0D2" w14:textId="77777777" w:rsidR="005A0E01" w:rsidRDefault="005A0E01">
      <w:pPr>
        <w:pStyle w:val="NoSpacing"/>
        <w:rPr>
          <w:sz w:val="24"/>
          <w:szCs w:val="24"/>
        </w:rPr>
      </w:pPr>
    </w:p>
    <w:p w14:paraId="1887C0D3" w14:textId="77777777" w:rsidR="005A0E01" w:rsidRDefault="00C3691A">
      <w:pPr>
        <w:pStyle w:val="NoSpacing"/>
      </w:pPr>
      <w:r>
        <w:rPr>
          <w:sz w:val="24"/>
          <w:szCs w:val="24"/>
        </w:rPr>
        <w:t>Question – what is the policy on phones? If there is an issue with</w:t>
      </w:r>
      <w:r>
        <w:rPr>
          <w:sz w:val="24"/>
          <w:szCs w:val="24"/>
        </w:rPr>
        <w:t xml:space="preserve"> a specific class – ask the teacher directly</w:t>
      </w:r>
    </w:p>
    <w:p w14:paraId="1887C0D4" w14:textId="77777777" w:rsidR="005A0E01" w:rsidRDefault="00C3691A">
      <w:pPr>
        <w:pStyle w:val="NoSpacing"/>
      </w:pPr>
      <w:r>
        <w:rPr>
          <w:sz w:val="24"/>
          <w:szCs w:val="24"/>
        </w:rPr>
        <w:t xml:space="preserve">Suggestion – Unplugged </w:t>
      </w:r>
      <w:hyperlink r:id="rId6" w:tgtFrame="_blank">
        <w:r>
          <w:rPr>
            <w:rStyle w:val="Hyperlink"/>
            <w:sz w:val="24"/>
            <w:szCs w:val="24"/>
          </w:rPr>
          <w:t>https://unpluggedcanada.com/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looking at whether it should be a DPAC or Highland event</w:t>
      </w:r>
    </w:p>
    <w:p w14:paraId="1887C0D5" w14:textId="77777777" w:rsidR="005A0E01" w:rsidRDefault="00C3691A">
      <w:pPr>
        <w:pStyle w:val="NoSpacing"/>
      </w:pPr>
      <w:r>
        <w:rPr>
          <w:sz w:val="24"/>
          <w:szCs w:val="24"/>
        </w:rPr>
        <w:t xml:space="preserve">Question – is there a 2 way mirror in </w:t>
      </w:r>
      <w:r>
        <w:rPr>
          <w:sz w:val="24"/>
          <w:szCs w:val="24"/>
        </w:rPr>
        <w:t>the girl’s change room, field trip was conducted to inspect the mirror, all is good</w:t>
      </w:r>
    </w:p>
    <w:p w14:paraId="1887C0D6" w14:textId="77777777" w:rsidR="005A0E01" w:rsidRDefault="005A0E01">
      <w:pPr>
        <w:pStyle w:val="NoSpacing"/>
        <w:rPr>
          <w:sz w:val="24"/>
          <w:szCs w:val="24"/>
        </w:rPr>
      </w:pPr>
    </w:p>
    <w:p w14:paraId="1887C0D7" w14:textId="77777777" w:rsidR="005A0E01" w:rsidRDefault="00C369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Treasurer Report (Gwen)</w:t>
      </w:r>
    </w:p>
    <w:p w14:paraId="1887C0D8" w14:textId="77777777" w:rsidR="005A0E01" w:rsidRDefault="00C3691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 of January 19th, 2026: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542"/>
        <w:gridCol w:w="2542"/>
        <w:gridCol w:w="2542"/>
      </w:tblGrid>
      <w:tr w:rsidR="005A0E01" w14:paraId="1887C0DD" w14:textId="77777777">
        <w:tc>
          <w:tcPr>
            <w:tcW w:w="2541" w:type="dxa"/>
          </w:tcPr>
          <w:p w14:paraId="1887C0D9" w14:textId="77777777" w:rsidR="005A0E01" w:rsidRDefault="00C3691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Non-Gaming Account</w:t>
            </w:r>
          </w:p>
        </w:tc>
        <w:tc>
          <w:tcPr>
            <w:tcW w:w="2542" w:type="dxa"/>
          </w:tcPr>
          <w:p w14:paraId="1887C0DA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0DB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0DC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</w:tr>
      <w:tr w:rsidR="005A0E01" w14:paraId="1887C0E2" w14:textId="77777777">
        <w:tc>
          <w:tcPr>
            <w:tcW w:w="2541" w:type="dxa"/>
          </w:tcPr>
          <w:p w14:paraId="1887C0DE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0DF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0E0" w14:textId="77777777" w:rsidR="005A0E01" w:rsidRDefault="00C3691A">
            <w:pPr>
              <w:pStyle w:val="TableContents"/>
              <w:rPr>
                <w:sz w:val="20"/>
              </w:rPr>
            </w:pPr>
            <w:r>
              <w:rPr>
                <w:sz w:val="24"/>
                <w:szCs w:val="24"/>
              </w:rPr>
              <w:t>Balance on Jan 1</w:t>
            </w:r>
            <w:r>
              <w:rPr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2542" w:type="dxa"/>
          </w:tcPr>
          <w:p w14:paraId="1887C0E1" w14:textId="77777777" w:rsidR="005A0E01" w:rsidRDefault="00C3691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$635.28</w:t>
            </w:r>
          </w:p>
        </w:tc>
      </w:tr>
      <w:tr w:rsidR="005A0E01" w14:paraId="1887C0E7" w14:textId="77777777">
        <w:tc>
          <w:tcPr>
            <w:tcW w:w="2541" w:type="dxa"/>
          </w:tcPr>
          <w:p w14:paraId="1887C0E3" w14:textId="77777777" w:rsidR="005A0E01" w:rsidRDefault="00C3691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Gaming Account</w:t>
            </w:r>
          </w:p>
        </w:tc>
        <w:tc>
          <w:tcPr>
            <w:tcW w:w="2542" w:type="dxa"/>
          </w:tcPr>
          <w:p w14:paraId="1887C0E4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0E5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0E6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</w:tr>
      <w:tr w:rsidR="005A0E01" w14:paraId="1887C0EC" w14:textId="77777777">
        <w:tc>
          <w:tcPr>
            <w:tcW w:w="2541" w:type="dxa"/>
          </w:tcPr>
          <w:p w14:paraId="1887C0E8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0E9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0EA" w14:textId="77777777" w:rsidR="005A0E01" w:rsidRDefault="00C3691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Balance on Nov 1st</w:t>
            </w:r>
          </w:p>
        </w:tc>
        <w:tc>
          <w:tcPr>
            <w:tcW w:w="2542" w:type="dxa"/>
          </w:tcPr>
          <w:p w14:paraId="1887C0EB" w14:textId="77777777" w:rsidR="005A0E01" w:rsidRDefault="00C3691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$17371.75</w:t>
            </w:r>
          </w:p>
        </w:tc>
      </w:tr>
      <w:tr w:rsidR="005A0E01" w14:paraId="1887C0F1" w14:textId="77777777">
        <w:tc>
          <w:tcPr>
            <w:tcW w:w="2541" w:type="dxa"/>
          </w:tcPr>
          <w:p w14:paraId="1887C0ED" w14:textId="77777777" w:rsidR="005A0E01" w:rsidRDefault="00C3691A">
            <w:pPr>
              <w:pStyle w:val="TableContents"/>
            </w:pPr>
            <w:r>
              <w:rPr>
                <w:sz w:val="24"/>
                <w:szCs w:val="24"/>
              </w:rPr>
              <w:t>Interest</w:t>
            </w:r>
          </w:p>
        </w:tc>
        <w:tc>
          <w:tcPr>
            <w:tcW w:w="2542" w:type="dxa"/>
          </w:tcPr>
          <w:p w14:paraId="1887C0EE" w14:textId="77777777" w:rsidR="005A0E01" w:rsidRDefault="00C3691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$0.01</w:t>
            </w:r>
          </w:p>
        </w:tc>
        <w:tc>
          <w:tcPr>
            <w:tcW w:w="2542" w:type="dxa"/>
          </w:tcPr>
          <w:p w14:paraId="1887C0EF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0F0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</w:tr>
      <w:tr w:rsidR="005A0E01" w14:paraId="1887C0F6" w14:textId="77777777">
        <w:tc>
          <w:tcPr>
            <w:tcW w:w="2541" w:type="dxa"/>
          </w:tcPr>
          <w:p w14:paraId="1887C0F2" w14:textId="77777777" w:rsidR="005A0E01" w:rsidRDefault="00C3691A">
            <w:pPr>
              <w:pStyle w:val="TableContents"/>
            </w:pPr>
            <w:r>
              <w:t>Reimburse Spring, lottery license</w:t>
            </w:r>
          </w:p>
        </w:tc>
        <w:tc>
          <w:tcPr>
            <w:tcW w:w="2542" w:type="dxa"/>
          </w:tcPr>
          <w:p w14:paraId="1887C0F3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0F4" w14:textId="77777777" w:rsidR="005A0E01" w:rsidRDefault="00C3691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$10.00</w:t>
            </w:r>
          </w:p>
        </w:tc>
        <w:tc>
          <w:tcPr>
            <w:tcW w:w="2542" w:type="dxa"/>
          </w:tcPr>
          <w:p w14:paraId="1887C0F5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</w:tr>
      <w:tr w:rsidR="005A0E01" w14:paraId="1887C0FB" w14:textId="77777777">
        <w:tc>
          <w:tcPr>
            <w:tcW w:w="2541" w:type="dxa"/>
          </w:tcPr>
          <w:p w14:paraId="1887C0F7" w14:textId="77777777" w:rsidR="005A0E01" w:rsidRDefault="00C3691A">
            <w:pPr>
              <w:pStyle w:val="TableContents"/>
            </w:pPr>
            <w:r>
              <w:t>Interest</w:t>
            </w:r>
          </w:p>
        </w:tc>
        <w:tc>
          <w:tcPr>
            <w:tcW w:w="2542" w:type="dxa"/>
          </w:tcPr>
          <w:p w14:paraId="1887C0F8" w14:textId="77777777" w:rsidR="005A0E01" w:rsidRDefault="00C3691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$0.01</w:t>
            </w:r>
          </w:p>
        </w:tc>
        <w:tc>
          <w:tcPr>
            <w:tcW w:w="2542" w:type="dxa"/>
          </w:tcPr>
          <w:p w14:paraId="1887C0F9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0FA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</w:tr>
      <w:tr w:rsidR="005A0E01" w14:paraId="1887C100" w14:textId="77777777">
        <w:tc>
          <w:tcPr>
            <w:tcW w:w="2541" w:type="dxa"/>
          </w:tcPr>
          <w:p w14:paraId="1887C0FC" w14:textId="77777777" w:rsidR="005A0E01" w:rsidRDefault="00C3691A">
            <w:pPr>
              <w:pStyle w:val="TableContents"/>
            </w:pPr>
            <w:r>
              <w:t>Deposit – clubs reimbursed for lottery licenses</w:t>
            </w:r>
          </w:p>
        </w:tc>
        <w:tc>
          <w:tcPr>
            <w:tcW w:w="2542" w:type="dxa"/>
          </w:tcPr>
          <w:p w14:paraId="1887C0FD" w14:textId="77777777" w:rsidR="005A0E01" w:rsidRDefault="00C3691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$85.00</w:t>
            </w:r>
          </w:p>
        </w:tc>
        <w:tc>
          <w:tcPr>
            <w:tcW w:w="2542" w:type="dxa"/>
          </w:tcPr>
          <w:p w14:paraId="1887C0FE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0FF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</w:tr>
      <w:tr w:rsidR="005A0E01" w14:paraId="1887C105" w14:textId="77777777">
        <w:tc>
          <w:tcPr>
            <w:tcW w:w="2541" w:type="dxa"/>
          </w:tcPr>
          <w:p w14:paraId="1887C101" w14:textId="77777777" w:rsidR="005A0E01" w:rsidRDefault="00C3691A">
            <w:pPr>
              <w:pStyle w:val="TableContents"/>
            </w:pPr>
            <w:r>
              <w:t>Deposit Band 50/50</w:t>
            </w:r>
          </w:p>
        </w:tc>
        <w:tc>
          <w:tcPr>
            <w:tcW w:w="2542" w:type="dxa"/>
          </w:tcPr>
          <w:p w14:paraId="1887C102" w14:textId="77777777" w:rsidR="005A0E01" w:rsidRDefault="00C3691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$496</w:t>
            </w:r>
          </w:p>
        </w:tc>
        <w:tc>
          <w:tcPr>
            <w:tcW w:w="2542" w:type="dxa"/>
          </w:tcPr>
          <w:p w14:paraId="1887C103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104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</w:tr>
      <w:tr w:rsidR="005A0E01" w14:paraId="1887C10A" w14:textId="77777777">
        <w:tc>
          <w:tcPr>
            <w:tcW w:w="2541" w:type="dxa"/>
          </w:tcPr>
          <w:p w14:paraId="1887C106" w14:textId="77777777" w:rsidR="005A0E01" w:rsidRDefault="00C3691A">
            <w:pPr>
              <w:pStyle w:val="TableContents"/>
            </w:pPr>
            <w:r>
              <w:t>EFT to Band 50/50 winner</w:t>
            </w:r>
          </w:p>
        </w:tc>
        <w:tc>
          <w:tcPr>
            <w:tcW w:w="2542" w:type="dxa"/>
          </w:tcPr>
          <w:p w14:paraId="1887C107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108" w14:textId="77777777" w:rsidR="005A0E01" w:rsidRDefault="00C3691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$248.00</w:t>
            </w:r>
          </w:p>
        </w:tc>
        <w:tc>
          <w:tcPr>
            <w:tcW w:w="2542" w:type="dxa"/>
          </w:tcPr>
          <w:p w14:paraId="1887C109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</w:tr>
      <w:tr w:rsidR="005A0E01" w14:paraId="1887C10F" w14:textId="77777777">
        <w:tc>
          <w:tcPr>
            <w:tcW w:w="2541" w:type="dxa"/>
          </w:tcPr>
          <w:p w14:paraId="1887C10B" w14:textId="77777777" w:rsidR="005A0E01" w:rsidRDefault="00C3691A">
            <w:pPr>
              <w:pStyle w:val="TableContents"/>
            </w:pPr>
            <w:r>
              <w:t>Deposit from Rafflebox Grad 50/50</w:t>
            </w:r>
          </w:p>
        </w:tc>
        <w:tc>
          <w:tcPr>
            <w:tcW w:w="2542" w:type="dxa"/>
          </w:tcPr>
          <w:p w14:paraId="1887C10C" w14:textId="77777777" w:rsidR="005A0E01" w:rsidRDefault="00C3691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$1122.56</w:t>
            </w:r>
          </w:p>
        </w:tc>
        <w:tc>
          <w:tcPr>
            <w:tcW w:w="2542" w:type="dxa"/>
          </w:tcPr>
          <w:p w14:paraId="1887C10D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10E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</w:tr>
      <w:tr w:rsidR="005A0E01" w14:paraId="1887C114" w14:textId="77777777">
        <w:tc>
          <w:tcPr>
            <w:tcW w:w="2541" w:type="dxa"/>
          </w:tcPr>
          <w:p w14:paraId="1887C110" w14:textId="77777777" w:rsidR="005A0E01" w:rsidRDefault="00C3691A">
            <w:pPr>
              <w:pStyle w:val="TableContents"/>
            </w:pPr>
            <w:r>
              <w:t xml:space="preserve">EFT </w:t>
            </w:r>
            <w:r>
              <w:t>Rafflebox fees</w:t>
            </w:r>
          </w:p>
        </w:tc>
        <w:tc>
          <w:tcPr>
            <w:tcW w:w="2542" w:type="dxa"/>
          </w:tcPr>
          <w:p w14:paraId="1887C111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112" w14:textId="77777777" w:rsidR="005A0E01" w:rsidRDefault="00C3691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$92.12</w:t>
            </w:r>
          </w:p>
        </w:tc>
        <w:tc>
          <w:tcPr>
            <w:tcW w:w="2542" w:type="dxa"/>
          </w:tcPr>
          <w:p w14:paraId="1887C113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</w:tr>
      <w:tr w:rsidR="005A0E01" w14:paraId="1887C119" w14:textId="77777777">
        <w:tc>
          <w:tcPr>
            <w:tcW w:w="2541" w:type="dxa"/>
          </w:tcPr>
          <w:p w14:paraId="1887C115" w14:textId="77777777" w:rsidR="005A0E01" w:rsidRDefault="00C3691A">
            <w:pPr>
              <w:pStyle w:val="TableContents"/>
            </w:pPr>
            <w:r>
              <w:t>EFT Grad 50/50 winner</w:t>
            </w:r>
          </w:p>
        </w:tc>
        <w:tc>
          <w:tcPr>
            <w:tcW w:w="2542" w:type="dxa"/>
          </w:tcPr>
          <w:p w14:paraId="1887C116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117" w14:textId="77777777" w:rsidR="005A0E01" w:rsidRDefault="00C3691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$587.50</w:t>
            </w:r>
          </w:p>
        </w:tc>
        <w:tc>
          <w:tcPr>
            <w:tcW w:w="2542" w:type="dxa"/>
          </w:tcPr>
          <w:p w14:paraId="1887C118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</w:tr>
      <w:tr w:rsidR="005A0E01" w14:paraId="1887C11E" w14:textId="77777777">
        <w:tc>
          <w:tcPr>
            <w:tcW w:w="2541" w:type="dxa"/>
          </w:tcPr>
          <w:p w14:paraId="1887C11A" w14:textId="77777777" w:rsidR="005A0E01" w:rsidRDefault="00C3691A">
            <w:pPr>
              <w:pStyle w:val="TableContents"/>
            </w:pPr>
            <w:r>
              <w:t>Interest</w:t>
            </w:r>
          </w:p>
        </w:tc>
        <w:tc>
          <w:tcPr>
            <w:tcW w:w="2542" w:type="dxa"/>
          </w:tcPr>
          <w:p w14:paraId="1887C11B" w14:textId="77777777" w:rsidR="005A0E01" w:rsidRDefault="00C3691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$0.01</w:t>
            </w:r>
          </w:p>
        </w:tc>
        <w:tc>
          <w:tcPr>
            <w:tcW w:w="2542" w:type="dxa"/>
          </w:tcPr>
          <w:p w14:paraId="1887C11C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11D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</w:tr>
      <w:tr w:rsidR="005A0E01" w14:paraId="1887C123" w14:textId="77777777">
        <w:tc>
          <w:tcPr>
            <w:tcW w:w="2541" w:type="dxa"/>
          </w:tcPr>
          <w:p w14:paraId="1887C11F" w14:textId="77777777" w:rsidR="005A0E01" w:rsidRDefault="005A0E01">
            <w:pPr>
              <w:pStyle w:val="TableContents"/>
            </w:pPr>
          </w:p>
        </w:tc>
        <w:tc>
          <w:tcPr>
            <w:tcW w:w="2542" w:type="dxa"/>
          </w:tcPr>
          <w:p w14:paraId="1887C120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121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122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</w:tr>
      <w:tr w:rsidR="005A0E01" w14:paraId="1887C128" w14:textId="77777777">
        <w:tc>
          <w:tcPr>
            <w:tcW w:w="2541" w:type="dxa"/>
          </w:tcPr>
          <w:p w14:paraId="1887C124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125" w14:textId="77777777" w:rsidR="005A0E01" w:rsidRDefault="005A0E01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887C126" w14:textId="77777777" w:rsidR="005A0E01" w:rsidRDefault="00C3691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Balance on Jan 19th</w:t>
            </w:r>
          </w:p>
        </w:tc>
        <w:tc>
          <w:tcPr>
            <w:tcW w:w="2542" w:type="dxa"/>
          </w:tcPr>
          <w:p w14:paraId="1887C127" w14:textId="77777777" w:rsidR="005A0E01" w:rsidRDefault="00C3691A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$18137.72</w:t>
            </w:r>
          </w:p>
        </w:tc>
      </w:tr>
    </w:tbl>
    <w:p w14:paraId="1887C129" w14:textId="77777777" w:rsidR="005A0E01" w:rsidRDefault="00C369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accounts have been transferred</w:t>
      </w:r>
    </w:p>
    <w:p w14:paraId="1887C12A" w14:textId="77777777" w:rsidR="005A0E01" w:rsidRDefault="00C369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Appreciation to Gwen for all of the time she has put into moving things over and organizing a new </w:t>
      </w:r>
      <w:r>
        <w:rPr>
          <w:sz w:val="24"/>
          <w:szCs w:val="24"/>
        </w:rPr>
        <w:t>Treasurer email and making how to guides</w:t>
      </w:r>
    </w:p>
    <w:p w14:paraId="1887C12B" w14:textId="77777777" w:rsidR="005A0E01" w:rsidRDefault="00C369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Fundraising is expensive on Rafflebox, are there other option?  Should we just go back to paper tickets</w:t>
      </w:r>
    </w:p>
    <w:p w14:paraId="1887C12C" w14:textId="77777777" w:rsidR="005A0E01" w:rsidRDefault="005A0E01">
      <w:pPr>
        <w:pStyle w:val="NoSpacing"/>
        <w:rPr>
          <w:sz w:val="24"/>
          <w:szCs w:val="24"/>
        </w:rPr>
      </w:pPr>
    </w:p>
    <w:p w14:paraId="1887C12D" w14:textId="77777777" w:rsidR="005A0E01" w:rsidRDefault="00C369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 xml:space="preserve">DPAC Report </w:t>
      </w:r>
    </w:p>
    <w:p w14:paraId="1887C12E" w14:textId="77777777" w:rsidR="005A0E01" w:rsidRDefault="005A0E01">
      <w:pPr>
        <w:pStyle w:val="NoSpacing"/>
        <w:rPr>
          <w:sz w:val="24"/>
          <w:szCs w:val="24"/>
        </w:rPr>
      </w:pPr>
    </w:p>
    <w:p w14:paraId="1887C12F" w14:textId="77777777" w:rsidR="005A0E01" w:rsidRDefault="00C3691A">
      <w:pPr>
        <w:pStyle w:val="NoSpacing"/>
      </w:pPr>
      <w:hyperlink r:id="rId7">
        <w:r>
          <w:rPr>
            <w:rStyle w:val="Hyperlink"/>
            <w:sz w:val="24"/>
            <w:szCs w:val="24"/>
            <w:u w:val="none"/>
          </w:rPr>
          <w:t>Click here for the DPAC minutes from the December 1st meeting.</w:t>
        </w:r>
      </w:hyperlink>
    </w:p>
    <w:p w14:paraId="1887C130" w14:textId="77777777" w:rsidR="005A0E01" w:rsidRDefault="005A0E01">
      <w:pPr>
        <w:pStyle w:val="NoSpacing"/>
      </w:pPr>
    </w:p>
    <w:p w14:paraId="1887C131" w14:textId="77777777" w:rsidR="005A0E01" w:rsidRDefault="00C3691A">
      <w:pPr>
        <w:pStyle w:val="NoSpacing"/>
      </w:pPr>
      <w:hyperlink r:id="rId8">
        <w:r>
          <w:rPr>
            <w:rStyle w:val="Hyperlink"/>
          </w:rPr>
          <w:t>Click here for the DPAC minutes from the January 5th meeting.</w:t>
        </w:r>
      </w:hyperlink>
    </w:p>
    <w:p w14:paraId="1887C132" w14:textId="77777777" w:rsidR="005A0E01" w:rsidRDefault="005A0E01">
      <w:pPr>
        <w:pStyle w:val="NoSpacing"/>
        <w:rPr>
          <w:sz w:val="24"/>
          <w:szCs w:val="24"/>
        </w:rPr>
      </w:pPr>
    </w:p>
    <w:p w14:paraId="1887C133" w14:textId="77777777" w:rsidR="005A0E01" w:rsidRDefault="00C3691A">
      <w:p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The next DPAC meeting is February 2</w:t>
      </w:r>
      <w:r>
        <w:rPr>
          <w:color w:val="000000"/>
          <w:sz w:val="24"/>
          <w:szCs w:val="24"/>
          <w:vertAlign w:val="superscript"/>
        </w:rPr>
        <w:t>nd</w:t>
      </w:r>
      <w:r>
        <w:rPr>
          <w:color w:val="000000"/>
          <w:sz w:val="24"/>
          <w:szCs w:val="24"/>
        </w:rPr>
        <w:t xml:space="preserve"> at Mark Isfeld Secondary at 6:30 in the library.  All are welcome.</w:t>
      </w:r>
    </w:p>
    <w:p w14:paraId="1887C134" w14:textId="77777777" w:rsidR="005A0E01" w:rsidRDefault="005A0E01">
      <w:pPr>
        <w:spacing w:after="0"/>
        <w:rPr>
          <w:sz w:val="24"/>
          <w:szCs w:val="24"/>
        </w:rPr>
      </w:pPr>
    </w:p>
    <w:p w14:paraId="1887C135" w14:textId="77777777" w:rsidR="005A0E01" w:rsidRDefault="00C3691A">
      <w:p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The ANTI-RACISM RESOURCES GUIDE is attached to these minutes in case the </w:t>
      </w:r>
      <w:r>
        <w:rPr>
          <w:color w:val="000000"/>
          <w:sz w:val="24"/>
          <w:szCs w:val="24"/>
        </w:rPr>
        <w:t>link in the minutes doesn’t work</w:t>
      </w:r>
    </w:p>
    <w:p w14:paraId="1887C136" w14:textId="77777777" w:rsidR="005A0E01" w:rsidRDefault="005A0E01">
      <w:pPr>
        <w:spacing w:after="0"/>
        <w:rPr>
          <w:sz w:val="24"/>
          <w:szCs w:val="24"/>
        </w:rPr>
      </w:pPr>
    </w:p>
    <w:p w14:paraId="1887C137" w14:textId="77777777" w:rsidR="005A0E01" w:rsidRDefault="00C3691A">
      <w:p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The GENDER-BASED VIOLENCE COMMITTEE TRUSTEE REPORT dated NOVEMBER 25, 2025 can be found </w:t>
      </w:r>
      <w:hyperlink r:id="rId9">
        <w:r>
          <w:rPr>
            <w:rStyle w:val="Hyperlink"/>
            <w:color w:val="000000"/>
            <w:sz w:val="24"/>
            <w:szCs w:val="24"/>
          </w:rPr>
          <w:t>here</w:t>
        </w:r>
      </w:hyperlink>
      <w:r>
        <w:rPr>
          <w:color w:val="000000"/>
          <w:sz w:val="24"/>
          <w:szCs w:val="24"/>
        </w:rPr>
        <w:t xml:space="preserve">, starting on page 19 – 54 </w:t>
      </w:r>
    </w:p>
    <w:p w14:paraId="1887C138" w14:textId="77777777" w:rsidR="005A0E01" w:rsidRDefault="005A0E01">
      <w:pPr>
        <w:spacing w:after="0"/>
        <w:rPr>
          <w:sz w:val="24"/>
          <w:szCs w:val="24"/>
        </w:rPr>
      </w:pPr>
    </w:p>
    <w:p w14:paraId="1887C139" w14:textId="77777777" w:rsidR="005A0E01" w:rsidRDefault="00C369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Highland school growth plan can be found </w:t>
      </w:r>
      <w:hyperlink r:id="rId10">
        <w:r>
          <w:rPr>
            <w:rStyle w:val="Hyperlink"/>
            <w:sz w:val="24"/>
            <w:szCs w:val="24"/>
            <w:u w:val="none"/>
          </w:rPr>
          <w:t>here</w:t>
        </w:r>
      </w:hyperlink>
    </w:p>
    <w:p w14:paraId="1887C13A" w14:textId="77777777" w:rsidR="005A0E01" w:rsidRDefault="005A0E01">
      <w:pPr>
        <w:pStyle w:val="NoSpacing"/>
        <w:rPr>
          <w:sz w:val="24"/>
          <w:szCs w:val="24"/>
        </w:rPr>
      </w:pPr>
    </w:p>
    <w:p w14:paraId="1887C13B" w14:textId="77777777" w:rsidR="005A0E01" w:rsidRDefault="00C369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Free Virtual Workshops for parents/caregivers/grandparen</w:t>
      </w:r>
      <w:r>
        <w:rPr>
          <w:sz w:val="24"/>
          <w:szCs w:val="24"/>
        </w:rPr>
        <w:t>ts and youth aged 10 and up</w:t>
      </w:r>
    </w:p>
    <w:p w14:paraId="1887C13C" w14:textId="77777777" w:rsidR="005A0E01" w:rsidRDefault="00C3691A">
      <w:pPr>
        <w:pStyle w:val="NoSpacing"/>
        <w:rPr>
          <w:sz w:val="24"/>
          <w:szCs w:val="24"/>
        </w:rPr>
      </w:pPr>
      <w:hyperlink r:id="rId11">
        <w:r>
          <w:rPr>
            <w:sz w:val="24"/>
            <w:szCs w:val="24"/>
          </w:rPr>
          <w:t>1. Establishing Safe, Caring &amp; Respectful Digital Communities</w:t>
        </w:r>
      </w:hyperlink>
    </w:p>
    <w:p w14:paraId="1887C13D" w14:textId="77777777" w:rsidR="005A0E01" w:rsidRDefault="00C3691A">
      <w:pPr>
        <w:pStyle w:val="NoSpacing"/>
        <w:rPr>
          <w:sz w:val="24"/>
          <w:szCs w:val="24"/>
        </w:rPr>
      </w:pPr>
      <w:hyperlink r:id="rId12">
        <w:r>
          <w:rPr>
            <w:rStyle w:val="Hyperlink"/>
            <w:sz w:val="24"/>
            <w:szCs w:val="24"/>
            <w:u w:val="none"/>
          </w:rPr>
          <w:t>https://pages.saferschoolstogether.com/erase-family-session</w:t>
        </w:r>
      </w:hyperlink>
    </w:p>
    <w:p w14:paraId="1887C13E" w14:textId="77777777" w:rsidR="005A0E01" w:rsidRDefault="00C369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Jan 21, Mar 11 &amp; May 13</w:t>
      </w:r>
      <w:r>
        <w:rPr>
          <w:sz w:val="24"/>
          <w:szCs w:val="24"/>
          <w:vertAlign w:val="superscript"/>
        </w:rPr>
        <w:t>th</w:t>
      </w:r>
    </w:p>
    <w:p w14:paraId="1887C13F" w14:textId="77777777" w:rsidR="005A0E01" w:rsidRDefault="005A0E01">
      <w:pPr>
        <w:pStyle w:val="NoSpacing"/>
        <w:rPr>
          <w:sz w:val="24"/>
          <w:szCs w:val="24"/>
        </w:rPr>
      </w:pPr>
    </w:p>
    <w:p w14:paraId="1887C140" w14:textId="77777777" w:rsidR="005A0E01" w:rsidRDefault="00C369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 Establishing Family Practices for Safeguarding Against Cyberbullying</w:t>
      </w:r>
    </w:p>
    <w:p w14:paraId="1887C141" w14:textId="77777777" w:rsidR="005A0E01" w:rsidRDefault="00C3691A">
      <w:pPr>
        <w:pStyle w:val="NoSpacing"/>
        <w:rPr>
          <w:sz w:val="24"/>
          <w:szCs w:val="24"/>
        </w:rPr>
      </w:pPr>
      <w:r>
        <w:rPr>
          <w:rStyle w:val="Hyperlink"/>
          <w:sz w:val="24"/>
          <w:szCs w:val="24"/>
          <w:u w:val="none"/>
        </w:rPr>
        <w:t>https://pages.safers</w:t>
      </w:r>
      <w:r>
        <w:rPr>
          <w:rStyle w:val="Hyperlink"/>
          <w:sz w:val="24"/>
          <w:szCs w:val="24"/>
          <w:u w:val="none"/>
        </w:rPr>
        <w:t>choolstogether.com/erase-family-sessions</w:t>
      </w:r>
    </w:p>
    <w:p w14:paraId="1887C142" w14:textId="77777777" w:rsidR="005A0E01" w:rsidRDefault="00C369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Feb 18, Apr 8 &amp; June 10th</w:t>
      </w:r>
    </w:p>
    <w:p w14:paraId="1887C143" w14:textId="77777777" w:rsidR="005A0E01" w:rsidRDefault="005A0E01">
      <w:pPr>
        <w:pStyle w:val="NoSpacing"/>
        <w:rPr>
          <w:sz w:val="24"/>
          <w:szCs w:val="24"/>
        </w:rPr>
      </w:pPr>
    </w:p>
    <w:p w14:paraId="1887C144" w14:textId="77777777" w:rsidR="005A0E01" w:rsidRDefault="005A0E01">
      <w:pPr>
        <w:pStyle w:val="NoSpacing"/>
        <w:rPr>
          <w:sz w:val="24"/>
          <w:szCs w:val="24"/>
        </w:rPr>
      </w:pPr>
    </w:p>
    <w:p w14:paraId="1887C145" w14:textId="77777777" w:rsidR="005A0E01" w:rsidRDefault="00C3691A">
      <w:pPr>
        <w:pStyle w:val="NoSpacing"/>
      </w:pPr>
      <w:r>
        <w:rPr>
          <w:b/>
          <w:bCs/>
          <w:sz w:val="24"/>
          <w:szCs w:val="24"/>
          <w:u w:val="single"/>
        </w:rPr>
        <w:t>Old Business</w:t>
      </w:r>
      <w:r>
        <w:rPr>
          <w:b/>
          <w:bCs/>
          <w:sz w:val="24"/>
          <w:szCs w:val="24"/>
        </w:rPr>
        <w:t xml:space="preserve"> </w:t>
      </w:r>
    </w:p>
    <w:p w14:paraId="1887C146" w14:textId="77777777" w:rsidR="005A0E01" w:rsidRDefault="00C3691A">
      <w:pPr>
        <w:pStyle w:val="NoSpacing"/>
      </w:pPr>
      <w:r>
        <w:rPr>
          <w:sz w:val="24"/>
          <w:szCs w:val="24"/>
        </w:rPr>
        <w:t>Donations/Sponsorships</w:t>
      </w:r>
    </w:p>
    <w:p w14:paraId="1887C147" w14:textId="77777777" w:rsidR="005A0E01" w:rsidRDefault="00C3691A">
      <w:pPr>
        <w:pStyle w:val="NoSpacing"/>
      </w:pPr>
      <w:r>
        <w:rPr>
          <w:sz w:val="24"/>
          <w:szCs w:val="24"/>
        </w:rPr>
        <w:t>"As part of the athletics funding conversation that brought additional parents to the meeting, discussion was raised around private donations, sponsor</w:t>
      </w:r>
      <w:r>
        <w:rPr>
          <w:sz w:val="24"/>
          <w:szCs w:val="24"/>
        </w:rPr>
        <w:t>ships, partnerships, and current funding structure of youth sports teams at Highland. Some of the information raised will require follow-up by the Executive, to ensure the information shared with parents is accurate. In subsequent meetings with school admi</w:t>
      </w:r>
      <w:r>
        <w:rPr>
          <w:sz w:val="24"/>
          <w:szCs w:val="24"/>
        </w:rPr>
        <w:t>nistration and Trustees,  it was suggested that the discussion be paused, and resumed when more information becomes available." </w:t>
      </w:r>
      <w:r>
        <w:rPr>
          <w:sz w:val="24"/>
          <w:szCs w:val="24"/>
        </w:rPr>
        <w:t xml:space="preserve">   If you would like more information, please reach out to </w:t>
      </w:r>
      <w:hyperlink r:id="rId13">
        <w:r>
          <w:rPr>
            <w:rStyle w:val="Hyperlink"/>
            <w:b/>
            <w:bCs/>
            <w:sz w:val="24"/>
            <w:szCs w:val="24"/>
            <w:u w:val="none"/>
          </w:rPr>
          <w:t>brooke_finlayson</w:t>
        </w:r>
        <w:r>
          <w:rPr>
            <w:rStyle w:val="Hyperlink"/>
            <w:b/>
            <w:bCs/>
            <w:sz w:val="24"/>
            <w:szCs w:val="24"/>
            <w:u w:val="none"/>
          </w:rPr>
          <w:t>@yahoo.com</w:t>
        </w:r>
      </w:hyperlink>
      <w:r>
        <w:rPr>
          <w:b/>
          <w:bCs/>
          <w:sz w:val="24"/>
          <w:szCs w:val="24"/>
        </w:rPr>
        <w:t>&gt;</w:t>
      </w:r>
    </w:p>
    <w:p w14:paraId="1887C148" w14:textId="77777777" w:rsidR="005A0E01" w:rsidRDefault="005A0E01">
      <w:pPr>
        <w:pStyle w:val="NoSpacing"/>
        <w:rPr>
          <w:b/>
          <w:bCs/>
          <w:sz w:val="24"/>
          <w:szCs w:val="24"/>
        </w:rPr>
      </w:pPr>
    </w:p>
    <w:p w14:paraId="1887C149" w14:textId="77777777" w:rsidR="005A0E01" w:rsidRDefault="00C3691A">
      <w:pPr>
        <w:pStyle w:val="NoSpacing"/>
      </w:pPr>
      <w:r>
        <w:rPr>
          <w:b/>
          <w:bCs/>
          <w:sz w:val="24"/>
          <w:szCs w:val="24"/>
          <w:u w:val="single"/>
        </w:rPr>
        <w:t xml:space="preserve">New Business </w:t>
      </w:r>
    </w:p>
    <w:p w14:paraId="1887C14A" w14:textId="77777777" w:rsidR="005A0E01" w:rsidRDefault="005A0E01">
      <w:pPr>
        <w:pStyle w:val="NoSpacing"/>
        <w:rPr>
          <w:sz w:val="24"/>
          <w:szCs w:val="24"/>
        </w:rPr>
      </w:pPr>
    </w:p>
    <w:p w14:paraId="1887C14B" w14:textId="77777777" w:rsidR="005A0E01" w:rsidRDefault="00C3691A">
      <w:pPr>
        <w:pStyle w:val="NoSpacing"/>
      </w:pPr>
      <w:r>
        <w:rPr>
          <w:sz w:val="24"/>
          <w:szCs w:val="24"/>
        </w:rPr>
        <w:t>The Active Living 11/12 and Competitive Games Mt. Washington day was cancelled due to lack of snow, no money needed.</w:t>
      </w:r>
    </w:p>
    <w:p w14:paraId="1887C14C" w14:textId="77777777" w:rsidR="005A0E01" w:rsidRDefault="005A0E01">
      <w:pPr>
        <w:pStyle w:val="NoSpacing"/>
        <w:rPr>
          <w:sz w:val="24"/>
          <w:szCs w:val="24"/>
        </w:rPr>
      </w:pPr>
    </w:p>
    <w:p w14:paraId="1887C14D" w14:textId="77777777" w:rsidR="005A0E01" w:rsidRDefault="00C369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Jen V put forth a motion to give Dan Kramar $50 to buy markers, crayons &amp; pencil crayons to enrich their projects outside of the curriculum.  Brooke F seconded the motion.  All in favour.  Motion carried.</w:t>
      </w:r>
    </w:p>
    <w:p w14:paraId="1887C14E" w14:textId="77777777" w:rsidR="005A0E01" w:rsidRDefault="005A0E01">
      <w:pPr>
        <w:pStyle w:val="NoSpacing"/>
        <w:rPr>
          <w:sz w:val="24"/>
          <w:szCs w:val="24"/>
        </w:rPr>
      </w:pPr>
    </w:p>
    <w:p w14:paraId="1887C14F" w14:textId="77777777" w:rsidR="005A0E01" w:rsidRDefault="00C369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Jen V put forth a motion to give Sally Sheehan, In</w:t>
      </w:r>
      <w:r>
        <w:rPr>
          <w:sz w:val="24"/>
          <w:szCs w:val="24"/>
        </w:rPr>
        <w:t>digenous Education, $200 to purchase school clothing &amp; merchandise with the new logo.  Krista T seconded the motion.  All in favour.  Motion carried.</w:t>
      </w:r>
    </w:p>
    <w:p w14:paraId="1887C150" w14:textId="77777777" w:rsidR="005A0E01" w:rsidRDefault="005A0E01">
      <w:pPr>
        <w:pStyle w:val="NoSpacing"/>
        <w:rPr>
          <w:sz w:val="24"/>
          <w:szCs w:val="24"/>
        </w:rPr>
      </w:pPr>
    </w:p>
    <w:p w14:paraId="1887C151" w14:textId="77777777" w:rsidR="005A0E01" w:rsidRDefault="00C369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Jen V put forth a motion to reimburse Gwen E $85.  $75 from the gaming account for the Band, Grad &amp; Thail</w:t>
      </w:r>
      <w:r>
        <w:rPr>
          <w:sz w:val="24"/>
          <w:szCs w:val="24"/>
        </w:rPr>
        <w:t xml:space="preserve">and 50/50 lottery licenses.  $10 from the non-gaming account for the accidental purchase of the wrong type of lottery license.  Brooke F seconded this motion.  All in favour.  Motion carried.  A motion was out forward in November to reimburse Gwen E for 1 </w:t>
      </w:r>
      <w:r>
        <w:rPr>
          <w:sz w:val="24"/>
          <w:szCs w:val="24"/>
        </w:rPr>
        <w:t>of these licenses, but it was never paid out.</w:t>
      </w:r>
    </w:p>
    <w:p w14:paraId="1887C152" w14:textId="77777777" w:rsidR="005A0E01" w:rsidRDefault="005A0E01">
      <w:pPr>
        <w:pStyle w:val="NoSpacing"/>
        <w:rPr>
          <w:sz w:val="24"/>
          <w:szCs w:val="24"/>
        </w:rPr>
      </w:pPr>
    </w:p>
    <w:p w14:paraId="1887C153" w14:textId="77777777" w:rsidR="005A0E01" w:rsidRDefault="00C369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Next </w:t>
      </w:r>
      <w:r>
        <w:rPr>
          <w:b/>
          <w:bCs/>
          <w:sz w:val="24"/>
          <w:szCs w:val="24"/>
        </w:rPr>
        <w:t>Meeting</w:t>
      </w:r>
      <w:r>
        <w:rPr>
          <w:sz w:val="24"/>
          <w:szCs w:val="24"/>
        </w:rPr>
        <w:t xml:space="preserve"> – February 23, 2026</w:t>
      </w:r>
    </w:p>
    <w:p w14:paraId="1887C154" w14:textId="77777777" w:rsidR="005A0E01" w:rsidRDefault="00C369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  <w:r>
        <w:rPr>
          <w:sz w:val="24"/>
          <w:szCs w:val="24"/>
        </w:rPr>
        <w:t xml:space="preserve"> – Meeting adjourned at 9:00 pm</w:t>
      </w:r>
    </w:p>
    <w:sectPr w:rsidR="005A0E01">
      <w:pgSz w:w="12240" w:h="15840"/>
      <w:pgMar w:top="1036" w:right="1036" w:bottom="1036" w:left="103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64CD"/>
    <w:multiLevelType w:val="multilevel"/>
    <w:tmpl w:val="C03E8E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7F303A"/>
    <w:multiLevelType w:val="multilevel"/>
    <w:tmpl w:val="B672BB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01"/>
    <w:rsid w:val="005A0E01"/>
    <w:rsid w:val="00C3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C0AB"/>
  <w15:docId w15:val="{7D7524CD-CCD2-4C65-8891-EA147E2F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C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24F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24F4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93531"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4248A3"/>
    <w:rPr>
      <w:sz w:val="22"/>
    </w:rPr>
  </w:style>
  <w:style w:type="paragraph" w:styleId="ListParagraph">
    <w:name w:val="List Paragraph"/>
    <w:basedOn w:val="Normal"/>
    <w:uiPriority w:val="34"/>
    <w:qFormat/>
    <w:rsid w:val="00880C0E"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i/g6go1pmnpprjrxmw9tgk3/MINUTES-01-05-2026-AGM.pdf?rlkey=eaymcy6imv7emncb75iln9i97&amp;e=1&amp;st=h4qhrp4a&amp;dl=0" TargetMode="External"/><Relationship Id="rId13" Type="http://schemas.openxmlformats.org/officeDocument/2006/relationships/hyperlink" Target="mailto:brooke_finlayson@yahoo.com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cl/fi/0nr8l4bi7t6mu4u31men0/MINUTES-12-01-2025.pdf?rlkey=ege4huv2sm3tlifi4aun41xbt&amp;e=1&amp;st=gixip1ft&amp;dl=0" TargetMode="External"/><Relationship Id="rId12" Type="http://schemas.openxmlformats.org/officeDocument/2006/relationships/hyperlink" Target="https://pages.saferschoolstogether.com/erase-family-session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unpluggedcanada.com/" TargetMode="External"/><Relationship Id="rId11" Type="http://schemas.openxmlformats.org/officeDocument/2006/relationships/hyperlink" Target="https://pages.saferschoolstogether.com/erase-family-session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comoxvalleyschools.ca/wp-content/uploads/2025/09/Highland-School-Goals-Laura-Robert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oxvalleyschools.ca/wp-content/uploads/2025/11/AgendaPackage-RegularBoardMtg-2025112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B06D0F3EADB4284F2196E9F4054D9" ma:contentTypeVersion="14" ma:contentTypeDescription="Create a new document." ma:contentTypeScope="" ma:versionID="c8766cf8c1769c6f5db1d239d4438cc3">
  <xsd:schema xmlns:xsd="http://www.w3.org/2001/XMLSchema" xmlns:xs="http://www.w3.org/2001/XMLSchema" xmlns:p="http://schemas.microsoft.com/office/2006/metadata/properties" xmlns:ns2="33809ca6-c3af-4319-a0cb-620ed8177e9f" xmlns:ns3="1c6a0fef-ce93-47b2-8301-b92f888516af" targetNamespace="http://schemas.microsoft.com/office/2006/metadata/properties" ma:root="true" ma:fieldsID="8247ef80da65c19cb96d26b9c992951a" ns2:_="" ns3:_="">
    <xsd:import namespace="33809ca6-c3af-4319-a0cb-620ed8177e9f"/>
    <xsd:import namespace="1c6a0fef-ce93-47b2-8301-b92f88851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9ca6-c3af-4319-a0cb-620ed8177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2fc4d-4418-4fb9-b09f-0e23acd48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a0fef-ce93-47b2-8301-b92f88851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09ca6-c3af-4319-a0cb-620ed8177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B9F177-2733-44E4-8294-21695C79AC86}"/>
</file>

<file path=customXml/itemProps2.xml><?xml version="1.0" encoding="utf-8"?>
<ds:datastoreItem xmlns:ds="http://schemas.openxmlformats.org/officeDocument/2006/customXml" ds:itemID="{03C14694-6EF2-49EF-BD28-31E2C9AB0CA9}"/>
</file>

<file path=customXml/itemProps3.xml><?xml version="1.0" encoding="utf-8"?>
<ds:datastoreItem xmlns:ds="http://schemas.openxmlformats.org/officeDocument/2006/customXml" ds:itemID="{0DD8CCE0-C828-4D8B-9F7F-F6006A6DD3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Preston</dc:creator>
  <dc:description/>
  <cp:lastModifiedBy>Erin Anania</cp:lastModifiedBy>
  <cp:revision>2</cp:revision>
  <cp:lastPrinted>2026-01-22T08:37:00Z</cp:lastPrinted>
  <dcterms:created xsi:type="dcterms:W3CDTF">2026-01-23T23:00:00Z</dcterms:created>
  <dcterms:modified xsi:type="dcterms:W3CDTF">2026-01-23T23:00:00Z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0x0101001F7B06D0F3EADB4284F2196E9F4054D9</vt:lpwstr>
  </property>
</Properties>
</file>