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96D7" w14:textId="77777777" w:rsidR="003657FD" w:rsidRPr="004A4626" w:rsidRDefault="003657FD" w:rsidP="003657FD">
      <w:pPr>
        <w:jc w:val="center"/>
        <w:rPr>
          <w:rFonts w:ascii="Book Antiqua" w:eastAsia="Book Antiqua" w:hAnsi="Book Antiqua" w:cs="Book Antiqua"/>
          <w:sz w:val="24"/>
          <w:szCs w:val="24"/>
        </w:rPr>
      </w:pPr>
      <w:r w:rsidRPr="004A4626">
        <w:rPr>
          <w:rFonts w:ascii="Book Antiqua" w:hAnsi="Book Antiqua"/>
          <w:noProof/>
        </w:rPr>
        <w:drawing>
          <wp:inline distT="0" distB="0" distL="0" distR="0" wp14:anchorId="04B9F2FA" wp14:editId="6CAB20E2">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656DA8BE" w14:textId="657C66EE" w:rsidR="003657FD" w:rsidRPr="004A4626" w:rsidRDefault="003657FD" w:rsidP="003657FD">
      <w:pPr>
        <w:spacing w:line="285" w:lineRule="exact"/>
        <w:jc w:val="center"/>
        <w:rPr>
          <w:rFonts w:ascii="Book Antiqua" w:eastAsia="Book Antiqua" w:hAnsi="Book Antiqua" w:cs="Book Antiqua"/>
          <w:sz w:val="24"/>
          <w:szCs w:val="24"/>
        </w:rPr>
      </w:pPr>
      <w:r w:rsidRPr="004A4626">
        <w:rPr>
          <w:rFonts w:ascii="Book Antiqua" w:eastAsia="Book Antiqua" w:hAnsi="Book Antiqua" w:cs="Book Antiqua"/>
          <w:b/>
          <w:bCs/>
          <w:color w:val="1F3864"/>
          <w:sz w:val="24"/>
          <w:szCs w:val="24"/>
        </w:rPr>
        <w:t>M</w:t>
      </w:r>
      <w:r>
        <w:rPr>
          <w:rFonts w:ascii="Book Antiqua" w:eastAsia="Book Antiqua" w:hAnsi="Book Antiqua" w:cs="Book Antiqua"/>
          <w:b/>
          <w:bCs/>
          <w:color w:val="1F3864"/>
          <w:sz w:val="24"/>
          <w:szCs w:val="24"/>
        </w:rPr>
        <w:t>3</w:t>
      </w:r>
      <w:r w:rsidRPr="004A4626">
        <w:rPr>
          <w:rFonts w:ascii="Book Antiqua" w:eastAsia="Book Antiqua" w:hAnsi="Book Antiqua" w:cs="Book Antiqua"/>
          <w:b/>
          <w:bCs/>
          <w:color w:val="1F3864"/>
          <w:sz w:val="24"/>
          <w:szCs w:val="24"/>
        </w:rPr>
        <w:t xml:space="preserve"> Lesson </w:t>
      </w:r>
      <w:r>
        <w:rPr>
          <w:rFonts w:ascii="Book Antiqua" w:eastAsia="Book Antiqua" w:hAnsi="Book Antiqua" w:cs="Book Antiqua"/>
          <w:b/>
          <w:bCs/>
          <w:color w:val="1F3864"/>
          <w:sz w:val="24"/>
          <w:szCs w:val="24"/>
        </w:rPr>
        <w:t>2</w:t>
      </w:r>
      <w:r w:rsidRPr="004A4626">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Exploring Different Paths to a Career</w:t>
      </w:r>
    </w:p>
    <w:p w14:paraId="3AEF7DEE" w14:textId="77777777" w:rsidR="003657FD" w:rsidRPr="004A4626" w:rsidRDefault="003657FD" w:rsidP="003657FD">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Core Competencies</w:t>
      </w:r>
      <w:r w:rsidRPr="004A4626">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3657FD" w:rsidRPr="004A4626" w14:paraId="2B7620D1" w14:textId="77777777" w:rsidTr="00365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10BEE570" w14:textId="77777777" w:rsidR="003657FD" w:rsidRPr="003657FD" w:rsidRDefault="003657FD" w:rsidP="003657FD">
            <w:pPr>
              <w:pStyle w:val="ListParagraph"/>
              <w:numPr>
                <w:ilvl w:val="0"/>
                <w:numId w:val="3"/>
              </w:numPr>
              <w:spacing w:line="300" w:lineRule="exact"/>
              <w:rPr>
                <w:rFonts w:ascii="Book Antiqua" w:hAnsi="Book Antiqua"/>
                <w:b w:val="0"/>
              </w:rPr>
            </w:pPr>
            <w:r w:rsidRPr="003657FD">
              <w:rPr>
                <w:rFonts w:ascii="Book Antiqua" w:eastAsia="Book Antiqua" w:hAnsi="Book Antiqua" w:cs="Book Antiqua"/>
                <w:b w:val="0"/>
                <w:sz w:val="24"/>
                <w:szCs w:val="24"/>
              </w:rPr>
              <w:t>Communication</w:t>
            </w:r>
          </w:p>
        </w:tc>
        <w:tc>
          <w:tcPr>
            <w:tcW w:w="2979" w:type="dxa"/>
            <w:tcBorders>
              <w:bottom w:val="none" w:sz="0" w:space="0" w:color="auto"/>
            </w:tcBorders>
          </w:tcPr>
          <w:p w14:paraId="0674A23A" w14:textId="77777777" w:rsidR="003657FD" w:rsidRPr="003657FD" w:rsidRDefault="003657FD" w:rsidP="003657FD">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3657FD">
              <w:rPr>
                <w:rFonts w:ascii="Book Antiqua" w:eastAsia="Book Antiqua" w:hAnsi="Book Antiqua" w:cs="Book Antiqua"/>
                <w:b w:val="0"/>
                <w:sz w:val="24"/>
                <w:szCs w:val="24"/>
              </w:rPr>
              <w:t>Thinking</w:t>
            </w:r>
          </w:p>
        </w:tc>
        <w:tc>
          <w:tcPr>
            <w:tcW w:w="3120" w:type="dxa"/>
            <w:tcBorders>
              <w:bottom w:val="none" w:sz="0" w:space="0" w:color="auto"/>
            </w:tcBorders>
          </w:tcPr>
          <w:p w14:paraId="438048D0" w14:textId="77777777" w:rsidR="003657FD" w:rsidRPr="003657FD" w:rsidRDefault="003657FD" w:rsidP="003657FD">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3657FD">
              <w:rPr>
                <w:rFonts w:ascii="Book Antiqua" w:eastAsia="Book Antiqua" w:hAnsi="Book Antiqua" w:cs="Book Antiqua"/>
                <w:b w:val="0"/>
                <w:sz w:val="24"/>
                <w:szCs w:val="24"/>
              </w:rPr>
              <w:t>Personal &amp; Social</w:t>
            </w:r>
          </w:p>
        </w:tc>
      </w:tr>
    </w:tbl>
    <w:p w14:paraId="6DD5AFD0" w14:textId="77777777" w:rsidR="003657FD" w:rsidRDefault="003657FD" w:rsidP="003657FD">
      <w:pPr>
        <w:spacing w:line="285" w:lineRule="exact"/>
        <w:rPr>
          <w:rFonts w:ascii="Book Antiqua" w:eastAsia="Book Antiqua" w:hAnsi="Book Antiqua" w:cs="Book Antiqua"/>
          <w:sz w:val="24"/>
          <w:szCs w:val="24"/>
          <w:u w:val="single"/>
        </w:rPr>
      </w:pPr>
    </w:p>
    <w:p w14:paraId="39C6C01D" w14:textId="77777777" w:rsidR="003657FD" w:rsidRPr="004A4626" w:rsidRDefault="003657FD" w:rsidP="003657FD">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Big Ideas</w:t>
      </w:r>
      <w:r w:rsidRPr="004A4626">
        <w:rPr>
          <w:rFonts w:ascii="Book Antiqua" w:eastAsia="Book Antiqua" w:hAnsi="Book Antiqua" w:cs="Book Antiqua"/>
          <w:sz w:val="24"/>
          <w:szCs w:val="24"/>
        </w:rPr>
        <w:t>:</w:t>
      </w:r>
    </w:p>
    <w:p w14:paraId="18C4F4A0" w14:textId="77777777" w:rsidR="003657FD" w:rsidRPr="004A4626" w:rsidRDefault="003657FD" w:rsidP="003657FD">
      <w:pPr>
        <w:pStyle w:val="ListParagraph"/>
        <w:numPr>
          <w:ilvl w:val="0"/>
          <w:numId w:val="2"/>
        </w:numPr>
        <w:spacing w:line="285" w:lineRule="exact"/>
        <w:rPr>
          <w:rFonts w:ascii="Book Antiqua" w:hAnsi="Book Antiqua"/>
        </w:rPr>
      </w:pPr>
      <w:r>
        <w:rPr>
          <w:rFonts w:ascii="Book Antiqua" w:eastAsia="Book Antiqua" w:hAnsi="Book Antiqua" w:cs="Book Antiqua"/>
          <w:sz w:val="24"/>
          <w:szCs w:val="24"/>
        </w:rPr>
        <w:t>Achieving our learning goals requires effort and perseverance.</w:t>
      </w:r>
    </w:p>
    <w:p w14:paraId="56E95AAA" w14:textId="77777777" w:rsidR="003657FD" w:rsidRPr="004A4626" w:rsidRDefault="003657FD" w:rsidP="003657FD">
      <w:pPr>
        <w:spacing w:line="270" w:lineRule="exact"/>
        <w:rPr>
          <w:rFonts w:ascii="Book Antiqua" w:eastAsia="Book Antiqua" w:hAnsi="Book Antiqua" w:cs="Book Antiqua"/>
          <w:sz w:val="24"/>
          <w:szCs w:val="24"/>
        </w:rPr>
      </w:pPr>
      <w:r w:rsidRPr="004A4626">
        <w:rPr>
          <w:rFonts w:ascii="Book Antiqua" w:hAnsi="Book Antiqua"/>
        </w:rPr>
        <w:br/>
      </w:r>
      <w:r w:rsidRPr="004A4626">
        <w:rPr>
          <w:rFonts w:ascii="Book Antiqua" w:eastAsia="Book Antiqua" w:hAnsi="Book Antiqua" w:cs="Book Antiqua"/>
          <w:sz w:val="24"/>
          <w:szCs w:val="24"/>
          <w:u w:val="single"/>
        </w:rPr>
        <w:t>Curricular Competencies</w:t>
      </w:r>
      <w:r w:rsidRPr="004A4626">
        <w:rPr>
          <w:rFonts w:ascii="Book Antiqua" w:eastAsia="Book Antiqua" w:hAnsi="Book Antiqua" w:cs="Book Antiqua"/>
          <w:sz w:val="24"/>
          <w:szCs w:val="24"/>
        </w:rPr>
        <w:t>:</w:t>
      </w:r>
    </w:p>
    <w:p w14:paraId="57725D8F" w14:textId="0FE27A9B" w:rsidR="003657FD" w:rsidRPr="003657FD" w:rsidRDefault="003657FD" w:rsidP="003657FD">
      <w:pPr>
        <w:pStyle w:val="ListParagraph"/>
        <w:numPr>
          <w:ilvl w:val="0"/>
          <w:numId w:val="1"/>
        </w:numPr>
        <w:spacing w:after="0" w:line="285" w:lineRule="exact"/>
        <w:rPr>
          <w:rFonts w:ascii="Book Antiqua" w:hAnsi="Book Antiqua"/>
        </w:rPr>
      </w:pPr>
      <w:r>
        <w:rPr>
          <w:rFonts w:ascii="Book Antiqua" w:eastAsia="Book Antiqua" w:hAnsi="Book Antiqua" w:cs="Book Antiqua"/>
          <w:sz w:val="24"/>
          <w:szCs w:val="24"/>
        </w:rPr>
        <w:t>Recognize and explore diverse perspectives on how work contributes to our community and society</w:t>
      </w:r>
    </w:p>
    <w:p w14:paraId="7E864F84" w14:textId="37BF6260" w:rsidR="003657FD" w:rsidRPr="003657FD" w:rsidRDefault="003657FD" w:rsidP="003657FD">
      <w:pPr>
        <w:pStyle w:val="ListParagraph"/>
        <w:numPr>
          <w:ilvl w:val="0"/>
          <w:numId w:val="1"/>
        </w:numPr>
        <w:spacing w:after="0" w:line="285" w:lineRule="exact"/>
        <w:rPr>
          <w:rFonts w:ascii="Book Antiqua" w:hAnsi="Book Antiqua"/>
        </w:rPr>
      </w:pPr>
      <w:r>
        <w:rPr>
          <w:rFonts w:ascii="Book Antiqua" w:eastAsia="Book Antiqua" w:hAnsi="Book Antiqua" w:cs="Book Antiqua"/>
          <w:sz w:val="24"/>
          <w:szCs w:val="24"/>
        </w:rPr>
        <w:t>Recognize the influence of curriculum choices and co-curricular activities on career paths</w:t>
      </w:r>
    </w:p>
    <w:p w14:paraId="442DC7E1" w14:textId="46BD2EF5" w:rsidR="003657FD" w:rsidRPr="004A4626" w:rsidRDefault="003657FD" w:rsidP="003657FD">
      <w:pPr>
        <w:pStyle w:val="ListParagraph"/>
        <w:numPr>
          <w:ilvl w:val="0"/>
          <w:numId w:val="1"/>
        </w:numPr>
        <w:spacing w:after="0" w:line="285" w:lineRule="exact"/>
        <w:rPr>
          <w:rFonts w:ascii="Book Antiqua" w:hAnsi="Book Antiqua"/>
        </w:rPr>
      </w:pPr>
      <w:r>
        <w:rPr>
          <w:rFonts w:ascii="Book Antiqua" w:eastAsia="Book Antiqua" w:hAnsi="Book Antiqua" w:cs="Book Antiqua"/>
          <w:sz w:val="24"/>
          <w:szCs w:val="24"/>
        </w:rPr>
        <w:t>Apply a variety of research skills to expand their knowledge of diverse career possibilities and understand career clusters</w:t>
      </w:r>
    </w:p>
    <w:p w14:paraId="597C0C24" w14:textId="77777777" w:rsidR="003657FD" w:rsidRPr="004A4626" w:rsidRDefault="003657FD" w:rsidP="003657FD">
      <w:pPr>
        <w:spacing w:after="0" w:line="285" w:lineRule="exact"/>
        <w:ind w:left="720" w:hanging="360"/>
        <w:rPr>
          <w:rFonts w:ascii="Book Antiqua" w:eastAsia="Book Antiqua" w:hAnsi="Book Antiqua" w:cs="Book Antiqua"/>
          <w:sz w:val="24"/>
          <w:szCs w:val="24"/>
        </w:rPr>
      </w:pPr>
    </w:p>
    <w:p w14:paraId="06EAAF14" w14:textId="5D220E0C" w:rsidR="003657FD" w:rsidRPr="004A4626" w:rsidRDefault="003657FD" w:rsidP="003657FD">
      <w:p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 xml:space="preserve">In this lesson, students will learn the different routes to career paths (direct to work, college certificate or diploma, and college or university degree), and how they relate to some career paths through using the resources on the </w:t>
      </w:r>
      <w:proofErr w:type="spellStart"/>
      <w:r>
        <w:rPr>
          <w:rFonts w:ascii="Book Antiqua" w:eastAsia="Book Antiqua" w:hAnsi="Book Antiqua" w:cs="Book Antiqua"/>
          <w:sz w:val="24"/>
          <w:szCs w:val="24"/>
        </w:rPr>
        <w:t>WorkBC</w:t>
      </w:r>
      <w:proofErr w:type="spellEnd"/>
      <w:r>
        <w:rPr>
          <w:rFonts w:ascii="Book Antiqua" w:eastAsia="Book Antiqua" w:hAnsi="Book Antiqua" w:cs="Book Antiqua"/>
          <w:sz w:val="24"/>
          <w:szCs w:val="24"/>
        </w:rPr>
        <w:t xml:space="preserve"> website.</w:t>
      </w:r>
    </w:p>
    <w:p w14:paraId="03DA523D" w14:textId="32FA7563" w:rsidR="00B96C2D" w:rsidRPr="00B96C2D" w:rsidRDefault="00B96C2D" w:rsidP="003657FD">
      <w:pPr>
        <w:shd w:val="clear" w:color="auto" w:fill="FFFFFF"/>
        <w:spacing w:before="225" w:after="225" w:line="240" w:lineRule="auto"/>
        <w:outlineLvl w:val="0"/>
        <w:rPr>
          <w:rFonts w:ascii="Book Antiqua" w:eastAsia="Times New Roman" w:hAnsi="Book Antiqua" w:cs="Helvetica"/>
          <w:kern w:val="36"/>
          <w:sz w:val="24"/>
          <w:szCs w:val="24"/>
          <w:lang w:eastAsia="en-CA"/>
        </w:rPr>
      </w:pPr>
      <w:r>
        <w:rPr>
          <w:rFonts w:ascii="Book Antiqua" w:eastAsia="Times New Roman" w:hAnsi="Book Antiqua" w:cs="Helvetica"/>
          <w:kern w:val="36"/>
          <w:sz w:val="24"/>
          <w:szCs w:val="24"/>
          <w:lang w:eastAsia="en-CA"/>
        </w:rPr>
        <w:t xml:space="preserve">Prior to this lesson, it is advisable to explore the </w:t>
      </w:r>
      <w:proofErr w:type="spellStart"/>
      <w:r>
        <w:rPr>
          <w:rFonts w:ascii="Book Antiqua" w:eastAsia="Times New Roman" w:hAnsi="Book Antiqua" w:cs="Helvetica"/>
          <w:kern w:val="36"/>
          <w:sz w:val="24"/>
          <w:szCs w:val="24"/>
          <w:lang w:eastAsia="en-CA"/>
        </w:rPr>
        <w:t>WorkBC</w:t>
      </w:r>
      <w:proofErr w:type="spellEnd"/>
      <w:r>
        <w:rPr>
          <w:rFonts w:ascii="Book Antiqua" w:eastAsia="Times New Roman" w:hAnsi="Book Antiqua" w:cs="Helvetica"/>
          <w:kern w:val="36"/>
          <w:sz w:val="24"/>
          <w:szCs w:val="24"/>
          <w:lang w:eastAsia="en-CA"/>
        </w:rPr>
        <w:t xml:space="preserve"> website with students (</w:t>
      </w:r>
      <w:hyperlink r:id="rId11" w:history="1">
        <w:r w:rsidRPr="009B6D32">
          <w:rPr>
            <w:rStyle w:val="Hyperlink"/>
            <w:rFonts w:ascii="Book Antiqua" w:eastAsia="Times New Roman" w:hAnsi="Book Antiqua" w:cs="Helvetica"/>
            <w:kern w:val="36"/>
            <w:sz w:val="24"/>
            <w:szCs w:val="24"/>
            <w:lang w:eastAsia="en-CA"/>
          </w:rPr>
          <w:t>https://www.workbc.ca/</w:t>
        </w:r>
      </w:hyperlink>
      <w:r>
        <w:rPr>
          <w:rFonts w:ascii="Book Antiqua" w:eastAsia="Times New Roman" w:hAnsi="Book Antiqua" w:cs="Helvetica"/>
          <w:kern w:val="36"/>
          <w:sz w:val="24"/>
          <w:szCs w:val="24"/>
          <w:lang w:eastAsia="en-CA"/>
        </w:rPr>
        <w:t>), looking at the various resources available to students as well as the Career Trek videos that they will be using today.</w:t>
      </w:r>
    </w:p>
    <w:p w14:paraId="744B3840" w14:textId="53F1F1E9" w:rsidR="003657FD" w:rsidRDefault="003657FD" w:rsidP="003657FD">
      <w:pPr>
        <w:shd w:val="clear" w:color="auto" w:fill="FFFFFF"/>
        <w:spacing w:before="225" w:after="225" w:line="240" w:lineRule="auto"/>
        <w:outlineLvl w:val="0"/>
        <w:rPr>
          <w:rFonts w:ascii="Book Antiqua" w:eastAsia="Times New Roman" w:hAnsi="Book Antiqua" w:cs="Helvetica"/>
          <w:kern w:val="36"/>
          <w:sz w:val="24"/>
          <w:szCs w:val="24"/>
          <w:u w:val="single"/>
          <w:lang w:eastAsia="en-CA"/>
        </w:rPr>
      </w:pPr>
      <w:r w:rsidRPr="0060289E">
        <w:rPr>
          <w:rFonts w:ascii="Book Antiqua" w:eastAsia="Times New Roman" w:hAnsi="Book Antiqua" w:cs="Helvetica"/>
          <w:kern w:val="36"/>
          <w:sz w:val="24"/>
          <w:szCs w:val="24"/>
          <w:u w:val="single"/>
          <w:lang w:eastAsia="en-CA"/>
        </w:rPr>
        <w:t>For Students:</w:t>
      </w:r>
    </w:p>
    <w:p w14:paraId="0DD946E3" w14:textId="784B80F2" w:rsidR="00B71925" w:rsidRPr="003657FD" w:rsidRDefault="003657FD"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S</w:t>
      </w:r>
      <w:r w:rsidR="00B71925" w:rsidRPr="003657FD">
        <w:rPr>
          <w:rFonts w:ascii="Book Antiqua" w:eastAsia="Times New Roman" w:hAnsi="Book Antiqua" w:cs="Helvetica"/>
          <w:sz w:val="24"/>
          <w:szCs w:val="24"/>
          <w:lang w:eastAsia="en-CA"/>
        </w:rPr>
        <w:t>o far in this course, you have examined a lot of things that go into exploring career and life, such as dreams vs. passions, skills, characteristics and competencies, perspectives of work, and the importance of volunteerism and community connections. In this lesson, we will continue to put these concepts together while examining more career paths. The more we find out about various career options now will enable us to better navigate our options when our time comes!</w:t>
      </w:r>
    </w:p>
    <w:p w14:paraId="638127E3" w14:textId="77777777" w:rsidR="00B71925" w:rsidRPr="003657FD"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The first thing to understand about researching a career is that it helps to be at least a little intrigued by that particular path of work. </w:t>
      </w:r>
      <w:bookmarkStart w:id="0" w:name="_GoBack"/>
      <w:bookmarkEnd w:id="0"/>
    </w:p>
    <w:p w14:paraId="6CE41CDC" w14:textId="77777777" w:rsidR="00B71925" w:rsidRPr="003657FD"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 xml:space="preserve">Many career journeys follow a straight path—graduate from high school, go to school and start your career. However, more often than not, there may be a serendipitous moment—you take a course in high school that sparks your interest in an occupation, or </w:t>
      </w:r>
      <w:r w:rsidRPr="003657FD">
        <w:rPr>
          <w:rFonts w:ascii="Book Antiqua" w:eastAsia="Times New Roman" w:hAnsi="Book Antiqua" w:cs="Helvetica"/>
          <w:sz w:val="24"/>
          <w:szCs w:val="24"/>
          <w:lang w:eastAsia="en-CA"/>
        </w:rPr>
        <w:lastRenderedPageBreak/>
        <w:t>your friend offers you a great new job, or a move takes you to a region with different demands.</w:t>
      </w:r>
    </w:p>
    <w:p w14:paraId="06340542" w14:textId="77777777" w:rsidR="00B71925" w:rsidRPr="003657FD"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 xml:space="preserve">In your assignment, you will explore </w:t>
      </w:r>
      <w:proofErr w:type="spellStart"/>
      <w:r w:rsidRPr="003657FD">
        <w:rPr>
          <w:rFonts w:ascii="Book Antiqua" w:eastAsia="Times New Roman" w:hAnsi="Book Antiqua" w:cs="Helvetica"/>
          <w:sz w:val="24"/>
          <w:szCs w:val="24"/>
          <w:lang w:eastAsia="en-CA"/>
        </w:rPr>
        <w:t>WorkBC</w:t>
      </w:r>
      <w:proofErr w:type="spellEnd"/>
      <w:r w:rsidRPr="003657FD">
        <w:rPr>
          <w:rFonts w:ascii="Book Antiqua" w:eastAsia="Times New Roman" w:hAnsi="Book Antiqua" w:cs="Helvetica"/>
          <w:sz w:val="24"/>
          <w:szCs w:val="24"/>
          <w:lang w:eastAsia="en-CA"/>
        </w:rPr>
        <w:t xml:space="preserve"> Career Trek videos to help you really delve into some different career opportunities. After watching the videos, you should be able to note that each is distinct in its training and its requirements, yet all of the occupations have a type of satisfaction and fulfillment that come from doing the job correctly. </w:t>
      </w:r>
    </w:p>
    <w:p w14:paraId="14BA66A8" w14:textId="4D761DFF" w:rsidR="00B71925"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During this unit, as we start exploring our choices after high school, we will look at different career zones:</w:t>
      </w:r>
    </w:p>
    <w:p w14:paraId="4769A0F8" w14:textId="5981C1F5" w:rsidR="00B96C2D" w:rsidRPr="003657FD" w:rsidRDefault="00B96C2D" w:rsidP="00B71925">
      <w:pPr>
        <w:shd w:val="clear" w:color="auto" w:fill="FFFFFF"/>
        <w:spacing w:before="180" w:after="180" w:line="240" w:lineRule="auto"/>
        <w:rPr>
          <w:rFonts w:ascii="Book Antiqua" w:eastAsia="Times New Roman" w:hAnsi="Book Antiqua" w:cs="Helvetica"/>
          <w:sz w:val="24"/>
          <w:szCs w:val="24"/>
          <w:lang w:eastAsia="en-CA"/>
        </w:rPr>
      </w:pPr>
      <w:r w:rsidRPr="00B96C2D">
        <w:rPr>
          <w:rFonts w:ascii="Book Antiqua" w:eastAsia="Times New Roman" w:hAnsi="Book Antiqua" w:cs="Helvetica"/>
          <w:i/>
          <w:sz w:val="24"/>
          <w:szCs w:val="24"/>
          <w:lang w:eastAsia="en-CA"/>
        </w:rPr>
        <w:t>Teacher:</w:t>
      </w:r>
      <w:r>
        <w:rPr>
          <w:rFonts w:ascii="Book Antiqua" w:eastAsia="Times New Roman" w:hAnsi="Book Antiqua" w:cs="Helvetica"/>
          <w:sz w:val="24"/>
          <w:szCs w:val="24"/>
          <w:lang w:eastAsia="en-CA"/>
        </w:rPr>
        <w:t xml:space="preserve"> take this opportunity to discuss your own career path, or to ask input on the career paths of those that students may know. Discuss some typical career paths where the education level may surprise students (for example, chiropractors or naturopaths who are considered doctors, but don’t have a medical degree, or an equities trader or air traffic controller where a degree isn’t required). </w:t>
      </w:r>
    </w:p>
    <w:p w14:paraId="4E00FEEA" w14:textId="6908C7D8" w:rsidR="00B71925" w:rsidRPr="003657FD"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1.</w:t>
      </w:r>
      <w:r w:rsidRPr="003657FD">
        <w:rPr>
          <w:rFonts w:ascii="Book Antiqua" w:eastAsia="Times New Roman" w:hAnsi="Book Antiqua" w:cs="Helvetica"/>
          <w:b/>
          <w:bCs/>
          <w:sz w:val="24"/>
          <w:szCs w:val="24"/>
          <w:lang w:eastAsia="en-CA"/>
        </w:rPr>
        <w:t> Direct to Work:</w:t>
      </w:r>
      <w:r w:rsidRPr="003657FD">
        <w:rPr>
          <w:rFonts w:ascii="Book Antiqua" w:eastAsia="Times New Roman" w:hAnsi="Book Antiqua" w:cs="Helvetica"/>
          <w:sz w:val="24"/>
          <w:szCs w:val="24"/>
          <w:lang w:eastAsia="en-CA"/>
        </w:rPr>
        <w:t xml:space="preserve"> this zone focuses on people who want to finish </w:t>
      </w:r>
      <w:r w:rsidR="00B96C2D" w:rsidRPr="003657FD">
        <w:rPr>
          <w:rFonts w:ascii="Book Antiqua" w:eastAsia="Times New Roman" w:hAnsi="Book Antiqua" w:cs="Helvetica"/>
          <w:sz w:val="24"/>
          <w:szCs w:val="24"/>
          <w:lang w:eastAsia="en-CA"/>
        </w:rPr>
        <w:t>school and</w:t>
      </w:r>
      <w:r w:rsidRPr="003657FD">
        <w:rPr>
          <w:rFonts w:ascii="Book Antiqua" w:eastAsia="Times New Roman" w:hAnsi="Book Antiqua" w:cs="Helvetica"/>
          <w:sz w:val="24"/>
          <w:szCs w:val="24"/>
          <w:lang w:eastAsia="en-CA"/>
        </w:rPr>
        <w:t xml:space="preserve"> go directly to being employed in the workforce without any additional education. Examples of these types of career are retail employee, office assistant or construction worker</w:t>
      </w:r>
    </w:p>
    <w:p w14:paraId="17404694" w14:textId="77777777" w:rsidR="00B71925" w:rsidRPr="003657FD"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2. </w:t>
      </w:r>
      <w:r w:rsidRPr="003657FD">
        <w:rPr>
          <w:rFonts w:ascii="Book Antiqua" w:eastAsia="Times New Roman" w:hAnsi="Book Antiqua" w:cs="Helvetica"/>
          <w:b/>
          <w:bCs/>
          <w:sz w:val="24"/>
          <w:szCs w:val="24"/>
          <w:lang w:eastAsia="en-CA"/>
        </w:rPr>
        <w:t>College Certificate or Diploma:</w:t>
      </w:r>
      <w:r w:rsidRPr="003657FD">
        <w:rPr>
          <w:rFonts w:ascii="Book Antiqua" w:eastAsia="Times New Roman" w:hAnsi="Book Antiqua" w:cs="Helvetica"/>
          <w:sz w:val="24"/>
          <w:szCs w:val="24"/>
          <w:lang w:eastAsia="en-CA"/>
        </w:rPr>
        <w:t> this zone focuses on those who want to go into the trades or receive certification in a new field. Examples of this type of career are electricians, dental hygienists or heavy duty mechanics. </w:t>
      </w:r>
    </w:p>
    <w:p w14:paraId="17E06101" w14:textId="77777777" w:rsidR="00B71925" w:rsidRPr="003657FD"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3. </w:t>
      </w:r>
      <w:r w:rsidRPr="003657FD">
        <w:rPr>
          <w:rFonts w:ascii="Book Antiqua" w:eastAsia="Times New Roman" w:hAnsi="Book Antiqua" w:cs="Helvetica"/>
          <w:b/>
          <w:bCs/>
          <w:sz w:val="24"/>
          <w:szCs w:val="24"/>
          <w:lang w:eastAsia="en-CA"/>
        </w:rPr>
        <w:t>College or University Degree:</w:t>
      </w:r>
      <w:r w:rsidRPr="003657FD">
        <w:rPr>
          <w:rFonts w:ascii="Book Antiqua" w:eastAsia="Times New Roman" w:hAnsi="Book Antiqua" w:cs="Helvetica"/>
          <w:sz w:val="24"/>
          <w:szCs w:val="24"/>
          <w:lang w:eastAsia="en-CA"/>
        </w:rPr>
        <w:t> this zone focuses on those people who are interested in pursuing a profession that requires a university degree. Examples of this type of career are doctors, teachers and engineers. </w:t>
      </w:r>
    </w:p>
    <w:p w14:paraId="15F6108C" w14:textId="10E7A661" w:rsidR="00B71925" w:rsidRDefault="00B71925" w:rsidP="00B71925">
      <w:pPr>
        <w:shd w:val="clear" w:color="auto" w:fill="FFFFFF"/>
        <w:spacing w:before="180" w:after="180" w:line="240" w:lineRule="auto"/>
        <w:rPr>
          <w:rFonts w:ascii="Book Antiqua" w:eastAsia="Times New Roman" w:hAnsi="Book Antiqua" w:cs="Helvetica"/>
          <w:sz w:val="24"/>
          <w:szCs w:val="24"/>
          <w:lang w:eastAsia="en-CA"/>
        </w:rPr>
      </w:pPr>
      <w:r w:rsidRPr="003657FD">
        <w:rPr>
          <w:rFonts w:ascii="Book Antiqua" w:eastAsia="Times New Roman" w:hAnsi="Book Antiqua" w:cs="Helvetica"/>
          <w:sz w:val="24"/>
          <w:szCs w:val="24"/>
          <w:lang w:eastAsia="en-CA"/>
        </w:rPr>
        <w:t>There's a lot to learn about the different paths that could lead to our fulfillment of career and life, so let's get started!</w:t>
      </w:r>
    </w:p>
    <w:p w14:paraId="21E682D9" w14:textId="2ADA177D" w:rsidR="00B96C2D" w:rsidRDefault="00B96C2D" w:rsidP="00B71925">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0DA83884" w14:textId="77777777" w:rsidR="00B96C2D" w:rsidRPr="00B96C2D" w:rsidRDefault="00B96C2D" w:rsidP="00B96C2D">
      <w:pPr>
        <w:pStyle w:val="NormalWeb"/>
        <w:shd w:val="clear" w:color="auto" w:fill="FFFFFF"/>
        <w:spacing w:before="180" w:beforeAutospacing="0" w:after="180" w:afterAutospacing="0"/>
        <w:rPr>
          <w:rFonts w:ascii="Book Antiqua" w:hAnsi="Book Antiqua" w:cs="Helvetica"/>
        </w:rPr>
      </w:pPr>
      <w:r w:rsidRPr="00B96C2D">
        <w:rPr>
          <w:rFonts w:ascii="Book Antiqua" w:hAnsi="Book Antiqua" w:cs="Helvetica"/>
        </w:rPr>
        <w:t>Throughout this course, you will learn to embrace the choices and decisions in your career path based on your interests, traditions, values, and where opportunities are in your community. </w:t>
      </w:r>
    </w:p>
    <w:p w14:paraId="098CD72E" w14:textId="1E17421D" w:rsidR="00B96C2D" w:rsidRPr="00B96C2D" w:rsidRDefault="00B96C2D" w:rsidP="00B96C2D">
      <w:pPr>
        <w:pStyle w:val="NormalWeb"/>
        <w:shd w:val="clear" w:color="auto" w:fill="FFFFFF"/>
        <w:spacing w:before="180" w:beforeAutospacing="0" w:after="180" w:afterAutospacing="0"/>
        <w:rPr>
          <w:rFonts w:ascii="Book Antiqua" w:hAnsi="Book Antiqua" w:cs="Helvetica"/>
        </w:rPr>
      </w:pPr>
      <w:r w:rsidRPr="00B96C2D">
        <w:rPr>
          <w:rFonts w:ascii="Book Antiqua" w:hAnsi="Book Antiqua" w:cs="Helvetica"/>
        </w:rPr>
        <w:t>In this assignment, you will learn about some career paths that you may not have thought of naturally</w:t>
      </w:r>
      <w:r>
        <w:rPr>
          <w:rFonts w:ascii="Book Antiqua" w:hAnsi="Book Antiqua" w:cs="Helvetica"/>
        </w:rPr>
        <w:t xml:space="preserve"> </w:t>
      </w:r>
      <w:r w:rsidRPr="00B96C2D">
        <w:rPr>
          <w:rFonts w:ascii="Book Antiqua" w:hAnsi="Book Antiqua" w:cs="Helvetica"/>
        </w:rPr>
        <w:t>and choose two that peak your own interest.</w:t>
      </w:r>
    </w:p>
    <w:p w14:paraId="7B27AE2A" w14:textId="77777777" w:rsidR="00B96C2D" w:rsidRPr="00B96C2D" w:rsidRDefault="00B96C2D" w:rsidP="00B96C2D">
      <w:pPr>
        <w:pStyle w:val="NormalWeb"/>
        <w:shd w:val="clear" w:color="auto" w:fill="FFFFFF"/>
        <w:spacing w:before="180" w:beforeAutospacing="0" w:after="180" w:afterAutospacing="0"/>
        <w:rPr>
          <w:rFonts w:ascii="Book Antiqua" w:hAnsi="Book Antiqua" w:cs="Helvetica"/>
        </w:rPr>
      </w:pPr>
      <w:r w:rsidRPr="00B96C2D">
        <w:rPr>
          <w:rFonts w:ascii="Book Antiqua" w:hAnsi="Book Antiqua" w:cs="Helvetica"/>
        </w:rPr>
        <w:t>Download or print out the following assignment to complete as you watch the videos:</w:t>
      </w:r>
    </w:p>
    <w:p w14:paraId="3C5172C6" w14:textId="73C47EFA" w:rsidR="00B96C2D" w:rsidRPr="00571A3E" w:rsidRDefault="00571A3E" w:rsidP="00B96C2D">
      <w:pPr>
        <w:pStyle w:val="NormalWeb"/>
        <w:shd w:val="clear" w:color="auto" w:fill="FFFFFF"/>
        <w:spacing w:before="180" w:beforeAutospacing="0" w:after="180" w:afterAutospacing="0"/>
        <w:rPr>
          <w:rStyle w:val="Hyperlink"/>
          <w:rFonts w:ascii="Book Antiqua" w:hAnsi="Book Antiqua" w:cs="Helvetica"/>
        </w:rPr>
      </w:pPr>
      <w:r>
        <w:rPr>
          <w:rFonts w:ascii="Book Antiqua" w:hAnsi="Book Antiqua" w:cs="Helvetica"/>
        </w:rPr>
        <w:fldChar w:fldCharType="begin"/>
      </w:r>
      <w:r>
        <w:rPr>
          <w:rFonts w:ascii="Book Antiqua" w:hAnsi="Book Antiqua" w:cs="Helvetica"/>
        </w:rPr>
        <w:instrText xml:space="preserve"> HYPERLINK "L:\\Documents\\CLE 9 Resources\\Module 3\\Career Paths Assignment Sheet.docx" \o "Career+Path+Assignment.docx" </w:instrText>
      </w:r>
      <w:r>
        <w:rPr>
          <w:rFonts w:ascii="Book Antiqua" w:hAnsi="Book Antiqua" w:cs="Helvetica"/>
        </w:rPr>
        <w:fldChar w:fldCharType="separate"/>
      </w:r>
      <w:r w:rsidR="00B96C2D" w:rsidRPr="00571A3E">
        <w:rPr>
          <w:rStyle w:val="Hyperlink"/>
          <w:rFonts w:ascii="Book Antiqua" w:hAnsi="Book Antiqua" w:cs="Helvetica"/>
        </w:rPr>
        <w:t>Career Paths Assignment</w:t>
      </w:r>
    </w:p>
    <w:p w14:paraId="1BACF6F7" w14:textId="595B28D7" w:rsidR="00B96C2D" w:rsidRPr="00B96C2D" w:rsidRDefault="00571A3E" w:rsidP="00B96C2D">
      <w:pPr>
        <w:pStyle w:val="NormalWeb"/>
        <w:shd w:val="clear" w:color="auto" w:fill="FFFFFF"/>
        <w:spacing w:before="0" w:beforeAutospacing="0" w:after="0" w:afterAutospacing="0"/>
        <w:rPr>
          <w:rFonts w:ascii="Book Antiqua" w:hAnsi="Book Antiqua" w:cs="Helvetica"/>
        </w:rPr>
      </w:pPr>
      <w:r>
        <w:rPr>
          <w:rFonts w:ascii="Book Antiqua" w:hAnsi="Book Antiqua" w:cs="Helvetica"/>
        </w:rPr>
        <w:fldChar w:fldCharType="end"/>
      </w:r>
      <w:r w:rsidR="00B96C2D" w:rsidRPr="00B96C2D">
        <w:rPr>
          <w:rFonts w:ascii="Book Antiqua" w:hAnsi="Book Antiqua" w:cs="Helvetica"/>
          <w:noProof/>
        </w:rPr>
        <w:drawing>
          <wp:inline distT="0" distB="0" distL="0" distR="0" wp14:anchorId="18291E44" wp14:editId="5B0349E5">
            <wp:extent cx="323850" cy="342900"/>
            <wp:effectExtent l="0" t="0" r="0" b="0"/>
            <wp:docPr id="2" name="Picture 2" descr="https://comoxvalleyschools.instructure.com/courses/197/files/82471/preview?verifier=XTelHXVhRxiyN4OrDySuGOHOyMX9lLazEl4HQj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oxvalleyschools.instructure.com/courses/197/files/82471/preview?verifier=XTelHXVhRxiyN4OrDySuGOHOyMX9lLazEl4HQj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00B96C2D" w:rsidRPr="00B96C2D">
        <w:rPr>
          <w:rFonts w:ascii="Book Antiqua" w:hAnsi="Book Antiqua" w:cs="Helvetica"/>
        </w:rPr>
        <w:t>  </w:t>
      </w:r>
      <w:hyperlink r:id="rId13" w:history="1">
        <w:r w:rsidRPr="009B6D32">
          <w:rPr>
            <w:rStyle w:val="Hyperlink"/>
            <w:rFonts w:ascii="Book Antiqua" w:hAnsi="Book Antiqua" w:cs="Helvetica"/>
          </w:rPr>
          <w:t>Video: Deckhand</w:t>
        </w:r>
      </w:hyperlink>
      <w:r>
        <w:rPr>
          <w:rFonts w:ascii="Book Antiqua" w:hAnsi="Book Antiqua" w:cs="Helvetica"/>
        </w:rPr>
        <w:t xml:space="preserve"> - </w:t>
      </w:r>
      <w:r w:rsidRPr="00571A3E">
        <w:rPr>
          <w:rFonts w:ascii="Book Antiqua" w:hAnsi="Book Antiqua" w:cs="Helvetica"/>
        </w:rPr>
        <w:t>https://www.careertrekbc.ca/episode/deck-hand</w:t>
      </w:r>
    </w:p>
    <w:p w14:paraId="558B1DD2" w14:textId="083AA45D" w:rsidR="00B96C2D" w:rsidRPr="00B96C2D" w:rsidRDefault="00B96C2D" w:rsidP="00B96C2D">
      <w:pPr>
        <w:pStyle w:val="NormalWeb"/>
        <w:shd w:val="clear" w:color="auto" w:fill="FFFFFF"/>
        <w:spacing w:before="0" w:beforeAutospacing="0" w:after="0" w:afterAutospacing="0"/>
        <w:rPr>
          <w:rFonts w:ascii="Book Antiqua" w:hAnsi="Book Antiqua" w:cs="Helvetica"/>
        </w:rPr>
      </w:pPr>
      <w:r w:rsidRPr="00B96C2D">
        <w:rPr>
          <w:rFonts w:ascii="Book Antiqua" w:hAnsi="Book Antiqua" w:cs="Helvetica"/>
          <w:noProof/>
        </w:rPr>
        <w:lastRenderedPageBreak/>
        <w:drawing>
          <wp:inline distT="0" distB="0" distL="0" distR="0" wp14:anchorId="7C7ACA1A" wp14:editId="196EF3EA">
            <wp:extent cx="314325" cy="333375"/>
            <wp:effectExtent l="0" t="0" r="9525" b="9525"/>
            <wp:docPr id="1" name="Picture 1" descr="https://comoxvalleyschools.instructure.com/courses/197/files/82471/preview?verifier=XTelHXVhRxiyN4OrDySuGOHOyMX9lLazEl4HQj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oxvalleyschools.instructure.com/courses/197/files/82471/preview?verifier=XTelHXVhRxiyN4OrDySuGOHOyMX9lLazEl4HQj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B96C2D">
        <w:rPr>
          <w:rFonts w:ascii="Book Antiqua" w:hAnsi="Book Antiqua" w:cs="Helvetica"/>
        </w:rPr>
        <w:t>  </w:t>
      </w:r>
      <w:hyperlink r:id="rId14" w:tgtFrame="_blank" w:history="1">
        <w:r w:rsidRPr="00B96C2D">
          <w:rPr>
            <w:rStyle w:val="Hyperlink"/>
            <w:rFonts w:ascii="Book Antiqua" w:hAnsi="Book Antiqua" w:cs="Helvetica"/>
            <w:color w:val="auto"/>
          </w:rPr>
          <w:t>Video: Human Resource Manager</w:t>
        </w:r>
      </w:hyperlink>
      <w:r w:rsidR="00571A3E">
        <w:rPr>
          <w:rFonts w:ascii="Book Antiqua" w:hAnsi="Book Antiqua" w:cs="Helvetica"/>
        </w:rPr>
        <w:t xml:space="preserve"> - </w:t>
      </w:r>
      <w:r w:rsidR="00571A3E" w:rsidRPr="00571A3E">
        <w:rPr>
          <w:rFonts w:ascii="Book Antiqua" w:hAnsi="Book Antiqua" w:cs="Helvetica"/>
        </w:rPr>
        <w:t>https://www.careertrekbc.ca/episode/human-resources-manager</w:t>
      </w:r>
    </w:p>
    <w:p w14:paraId="5503F50D" w14:textId="77777777" w:rsidR="00B96C2D" w:rsidRPr="00B96C2D" w:rsidRDefault="00B96C2D" w:rsidP="00B96C2D">
      <w:pPr>
        <w:pStyle w:val="NormalWeb"/>
        <w:shd w:val="clear" w:color="auto" w:fill="FFFFFF"/>
        <w:spacing w:before="180" w:beforeAutospacing="0" w:after="180" w:afterAutospacing="0"/>
        <w:rPr>
          <w:rFonts w:ascii="Book Antiqua" w:hAnsi="Book Antiqua" w:cs="Helvetica"/>
        </w:rPr>
      </w:pPr>
      <w:r w:rsidRPr="00B96C2D">
        <w:rPr>
          <w:rFonts w:ascii="Book Antiqua" w:hAnsi="Book Antiqua" w:cs="Helvetica"/>
        </w:rPr>
        <w:t>In addition, choose two videos that peak your interest:</w:t>
      </w:r>
    </w:p>
    <w:p w14:paraId="13DCE5EB" w14:textId="6EC46F47" w:rsidR="00B96C2D" w:rsidRPr="00B96C2D" w:rsidRDefault="00BE286F" w:rsidP="00B96C2D">
      <w:pPr>
        <w:pStyle w:val="NormalWeb"/>
        <w:shd w:val="clear" w:color="auto" w:fill="FFFFFF"/>
        <w:spacing w:before="0" w:beforeAutospacing="0" w:after="0" w:afterAutospacing="0"/>
        <w:rPr>
          <w:rFonts w:ascii="Book Antiqua" w:hAnsi="Book Antiqua" w:cs="Helvetica"/>
        </w:rPr>
      </w:pPr>
      <w:hyperlink r:id="rId15" w:history="1">
        <w:r w:rsidR="00571A3E" w:rsidRPr="009B6D32">
          <w:rPr>
            <w:rStyle w:val="Hyperlink"/>
            <w:rFonts w:ascii="Book Antiqua" w:hAnsi="Book Antiqua" w:cs="Helvetica"/>
          </w:rPr>
          <w:t>https://www.careertrekbc.ca/episodes</w:t>
        </w:r>
        <w:r w:rsidR="00571A3E" w:rsidRPr="009B6D32">
          <w:rPr>
            <w:rStyle w:val="Hyperlink"/>
            <w:rFonts w:ascii="Book Antiqua" w:hAnsi="Book Antiqua" w:cs="Helvetica"/>
            <w:bdr w:val="none" w:sz="0" w:space="0" w:color="auto" w:frame="1"/>
          </w:rPr>
          <w:t> </w:t>
        </w:r>
      </w:hyperlink>
    </w:p>
    <w:p w14:paraId="1C6D14F5" w14:textId="00EDE8EA" w:rsidR="00B96C2D" w:rsidRDefault="00B96C2D" w:rsidP="00B96C2D">
      <w:pPr>
        <w:pStyle w:val="NormalWeb"/>
        <w:shd w:val="clear" w:color="auto" w:fill="FFFFFF"/>
        <w:spacing w:before="180" w:beforeAutospacing="0" w:after="180" w:afterAutospacing="0"/>
        <w:rPr>
          <w:rFonts w:ascii="Book Antiqua" w:hAnsi="Book Antiqua" w:cs="Helvetica"/>
        </w:rPr>
      </w:pPr>
      <w:r w:rsidRPr="00B96C2D">
        <w:rPr>
          <w:rFonts w:ascii="Book Antiqua" w:hAnsi="Book Antiqua" w:cs="Helvetica"/>
        </w:rPr>
        <w:t xml:space="preserve">Having looked four different videos, you should be able to start to distinguish how each career path has its own training and requirements, but </w:t>
      </w:r>
      <w:proofErr w:type="gramStart"/>
      <w:r w:rsidRPr="00B96C2D">
        <w:rPr>
          <w:rFonts w:ascii="Book Antiqua" w:hAnsi="Book Antiqua" w:cs="Helvetica"/>
        </w:rPr>
        <w:t>all of</w:t>
      </w:r>
      <w:proofErr w:type="gramEnd"/>
      <w:r w:rsidRPr="00B96C2D">
        <w:rPr>
          <w:rFonts w:ascii="Book Antiqua" w:hAnsi="Book Antiqua" w:cs="Helvetica"/>
        </w:rPr>
        <w:t xml:space="preserve"> these occupations have a type of satisfaction and fulfillment that come from doing the job correctly and with the right attitude!</w:t>
      </w:r>
    </w:p>
    <w:p w14:paraId="420CFEB2" w14:textId="78E1CBB6" w:rsidR="00571A3E" w:rsidRDefault="00571A3E" w:rsidP="00B96C2D">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After the assignment, students can present and discuss some of the careers that they have researched. Alternatively, students can research career paths that were filmed in their community.</w:t>
      </w:r>
    </w:p>
    <w:p w14:paraId="095104B9" w14:textId="060FD396" w:rsidR="00571A3E" w:rsidRDefault="00571A3E" w:rsidP="00B96C2D">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2834DC9D" w14:textId="15A10C71" w:rsidR="00571A3E" w:rsidRPr="00571A3E" w:rsidRDefault="00571A3E" w:rsidP="00B96C2D">
      <w:pPr>
        <w:pStyle w:val="NormalWeb"/>
        <w:shd w:val="clear" w:color="auto" w:fill="FFFFFF"/>
        <w:spacing w:before="180" w:beforeAutospacing="0" w:after="180" w:afterAutospacing="0"/>
        <w:rPr>
          <w:rFonts w:ascii="Book Antiqua" w:hAnsi="Book Antiqua" w:cs="Helvetica"/>
        </w:rPr>
      </w:pPr>
      <w:r>
        <w:rPr>
          <w:rFonts w:ascii="Book Antiqua" w:hAnsi="Book Antiqua" w:cs="Helvetica"/>
          <w:noProof/>
        </w:rPr>
        <w:drawing>
          <wp:inline distT="0" distB="0" distL="0" distR="0" wp14:anchorId="5E671920" wp14:editId="5521E438">
            <wp:extent cx="5943600" cy="4139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er Paths Assessment.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139565"/>
                    </a:xfrm>
                    <a:prstGeom prst="rect">
                      <a:avLst/>
                    </a:prstGeom>
                  </pic:spPr>
                </pic:pic>
              </a:graphicData>
            </a:graphic>
          </wp:inline>
        </w:drawing>
      </w:r>
    </w:p>
    <w:p w14:paraId="0BC3CD90" w14:textId="77777777" w:rsidR="00B96C2D" w:rsidRPr="00B96C2D" w:rsidRDefault="00B96C2D" w:rsidP="00B71925">
      <w:pPr>
        <w:shd w:val="clear" w:color="auto" w:fill="FFFFFF"/>
        <w:spacing w:before="180" w:after="180" w:line="240" w:lineRule="auto"/>
        <w:rPr>
          <w:rFonts w:ascii="Book Antiqua" w:eastAsia="Times New Roman" w:hAnsi="Book Antiqua" w:cs="Helvetica"/>
          <w:sz w:val="24"/>
          <w:szCs w:val="24"/>
          <w:u w:val="single"/>
          <w:lang w:eastAsia="en-CA"/>
        </w:rPr>
      </w:pPr>
    </w:p>
    <w:sectPr w:rsidR="00B96C2D" w:rsidRPr="00B96C2D">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9501" w14:textId="77777777" w:rsidR="00BE286F" w:rsidRDefault="00BE286F" w:rsidP="00BE286F">
      <w:pPr>
        <w:spacing w:after="0" w:line="240" w:lineRule="auto"/>
      </w:pPr>
      <w:r>
        <w:separator/>
      </w:r>
    </w:p>
  </w:endnote>
  <w:endnote w:type="continuationSeparator" w:id="0">
    <w:p w14:paraId="7D1B7BF4" w14:textId="77777777" w:rsidR="00BE286F" w:rsidRDefault="00BE286F" w:rsidP="00BE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AF5C" w14:textId="7E532C9E" w:rsidR="00BE286F" w:rsidRPr="00BE286F" w:rsidRDefault="00BE286F" w:rsidP="00BE286F">
    <w:pPr>
      <w:pStyle w:val="Footer"/>
      <w:jc w:val="right"/>
      <w:rPr>
        <w:rFonts w:ascii="Book Antiqua" w:hAnsi="Book Antiqua"/>
        <w:sz w:val="16"/>
        <w:szCs w:val="16"/>
      </w:rPr>
    </w:pPr>
    <w:r w:rsidRPr="00BE286F">
      <w:rPr>
        <w:rFonts w:ascii="Book Antiqua" w:hAnsi="Book Antiqua"/>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1391" w14:textId="77777777" w:rsidR="00BE286F" w:rsidRDefault="00BE286F" w:rsidP="00BE286F">
      <w:pPr>
        <w:spacing w:after="0" w:line="240" w:lineRule="auto"/>
      </w:pPr>
      <w:r>
        <w:separator/>
      </w:r>
    </w:p>
  </w:footnote>
  <w:footnote w:type="continuationSeparator" w:id="0">
    <w:p w14:paraId="2CA1AA5B" w14:textId="77777777" w:rsidR="00BE286F" w:rsidRDefault="00BE286F" w:rsidP="00BE2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25"/>
    <w:rsid w:val="003657FD"/>
    <w:rsid w:val="00571A3E"/>
    <w:rsid w:val="009838B0"/>
    <w:rsid w:val="00B71925"/>
    <w:rsid w:val="00B96C2D"/>
    <w:rsid w:val="00BE28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F04B"/>
  <w15:chartTrackingRefBased/>
  <w15:docId w15:val="{ADE9E526-8E2E-4B80-BCBC-BE95D277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1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25"/>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719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71925"/>
    <w:rPr>
      <w:b/>
      <w:bCs/>
    </w:rPr>
  </w:style>
  <w:style w:type="table" w:styleId="GridTable1Light-Accent1">
    <w:name w:val="Grid Table 1 Light Accent 1"/>
    <w:basedOn w:val="TableNormal"/>
    <w:uiPriority w:val="46"/>
    <w:rsid w:val="003657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657FD"/>
    <w:pPr>
      <w:ind w:left="720"/>
      <w:contextualSpacing/>
    </w:pPr>
  </w:style>
  <w:style w:type="character" w:styleId="Hyperlink">
    <w:name w:val="Hyperlink"/>
    <w:basedOn w:val="DefaultParagraphFont"/>
    <w:uiPriority w:val="99"/>
    <w:unhideWhenUsed/>
    <w:rsid w:val="00B96C2D"/>
    <w:rPr>
      <w:color w:val="0563C1" w:themeColor="hyperlink"/>
      <w:u w:val="single"/>
    </w:rPr>
  </w:style>
  <w:style w:type="character" w:styleId="UnresolvedMention">
    <w:name w:val="Unresolved Mention"/>
    <w:basedOn w:val="DefaultParagraphFont"/>
    <w:uiPriority w:val="99"/>
    <w:semiHidden/>
    <w:unhideWhenUsed/>
    <w:rsid w:val="00B96C2D"/>
    <w:rPr>
      <w:color w:val="605E5C"/>
      <w:shd w:val="clear" w:color="auto" w:fill="E1DFDD"/>
    </w:rPr>
  </w:style>
  <w:style w:type="character" w:customStyle="1" w:styleId="screenreader-only">
    <w:name w:val="screenreader-only"/>
    <w:basedOn w:val="DefaultParagraphFont"/>
    <w:rsid w:val="00B96C2D"/>
  </w:style>
  <w:style w:type="paragraph" w:styleId="Header">
    <w:name w:val="header"/>
    <w:basedOn w:val="Normal"/>
    <w:link w:val="HeaderChar"/>
    <w:uiPriority w:val="99"/>
    <w:unhideWhenUsed/>
    <w:rsid w:val="00BE2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F"/>
  </w:style>
  <w:style w:type="paragraph" w:styleId="Footer">
    <w:name w:val="footer"/>
    <w:basedOn w:val="Normal"/>
    <w:link w:val="FooterChar"/>
    <w:uiPriority w:val="99"/>
    <w:unhideWhenUsed/>
    <w:rsid w:val="00BE2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144884">
      <w:bodyDiv w:val="1"/>
      <w:marLeft w:val="0"/>
      <w:marRight w:val="0"/>
      <w:marTop w:val="0"/>
      <w:marBottom w:val="0"/>
      <w:divBdr>
        <w:top w:val="none" w:sz="0" w:space="0" w:color="auto"/>
        <w:left w:val="none" w:sz="0" w:space="0" w:color="auto"/>
        <w:bottom w:val="none" w:sz="0" w:space="0" w:color="auto"/>
        <w:right w:val="none" w:sz="0" w:space="0" w:color="auto"/>
      </w:divBdr>
    </w:div>
    <w:div w:id="846019605">
      <w:bodyDiv w:val="1"/>
      <w:marLeft w:val="0"/>
      <w:marRight w:val="0"/>
      <w:marTop w:val="0"/>
      <w:marBottom w:val="0"/>
      <w:divBdr>
        <w:top w:val="none" w:sz="0" w:space="0" w:color="auto"/>
        <w:left w:val="none" w:sz="0" w:space="0" w:color="auto"/>
        <w:bottom w:val="none" w:sz="0" w:space="0" w:color="auto"/>
        <w:right w:val="none" w:sz="0" w:space="0" w:color="auto"/>
      </w:divBdr>
    </w:div>
    <w:div w:id="909584172">
      <w:bodyDiv w:val="1"/>
      <w:marLeft w:val="0"/>
      <w:marRight w:val="0"/>
      <w:marTop w:val="0"/>
      <w:marBottom w:val="0"/>
      <w:divBdr>
        <w:top w:val="none" w:sz="0" w:space="0" w:color="auto"/>
        <w:left w:val="none" w:sz="0" w:space="0" w:color="auto"/>
        <w:bottom w:val="none" w:sz="0" w:space="0" w:color="auto"/>
        <w:right w:val="none" w:sz="0" w:space="0" w:color="auto"/>
      </w:divBdr>
      <w:divsChild>
        <w:div w:id="1897357659">
          <w:marLeft w:val="0"/>
          <w:marRight w:val="0"/>
          <w:marTop w:val="0"/>
          <w:marBottom w:val="0"/>
          <w:divBdr>
            <w:top w:val="none" w:sz="0" w:space="0" w:color="auto"/>
            <w:left w:val="none" w:sz="0" w:space="0" w:color="auto"/>
            <w:bottom w:val="none" w:sz="0" w:space="0" w:color="auto"/>
            <w:right w:val="none" w:sz="0" w:space="0" w:color="auto"/>
          </w:divBdr>
          <w:divsChild>
            <w:div w:id="1285423654">
              <w:marLeft w:val="0"/>
              <w:marRight w:val="0"/>
              <w:marTop w:val="0"/>
              <w:marBottom w:val="0"/>
              <w:divBdr>
                <w:top w:val="none" w:sz="0" w:space="0" w:color="auto"/>
                <w:left w:val="none" w:sz="0" w:space="0" w:color="auto"/>
                <w:bottom w:val="none" w:sz="0" w:space="0" w:color="auto"/>
                <w:right w:val="none" w:sz="0" w:space="0" w:color="auto"/>
              </w:divBdr>
              <w:divsChild>
                <w:div w:id="17903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Video:%20Deckh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bc.ca/" TargetMode="External"/><Relationship Id="rId5" Type="http://schemas.openxmlformats.org/officeDocument/2006/relationships/styles" Target="styles.xml"/><Relationship Id="rId15" Type="http://schemas.openxmlformats.org/officeDocument/2006/relationships/hyperlink" Target="https://www.careertrekbc.ca/episodes&#16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eertrekbc.ca/episode/human-resources-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98413-8692-4FD1-AF88-970D958D65FB}"/>
</file>

<file path=customXml/itemProps2.xml><?xml version="1.0" encoding="utf-8"?>
<ds:datastoreItem xmlns:ds="http://schemas.openxmlformats.org/officeDocument/2006/customXml" ds:itemID="{B8A6AB7F-7E7F-4BC2-8B46-52078A9E3DEB}">
  <ds:schemaRefs>
    <ds:schemaRef ds:uri="http://schemas.microsoft.com/sharepoint/v3/contenttype/forms"/>
  </ds:schemaRefs>
</ds:datastoreItem>
</file>

<file path=customXml/itemProps3.xml><?xml version="1.0" encoding="utf-8"?>
<ds:datastoreItem xmlns:ds="http://schemas.openxmlformats.org/officeDocument/2006/customXml" ds:itemID="{BE77DD1E-B285-4B9E-9C3B-521CBC483DD2}">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2018-11-30T21:50:00Z</dcterms:created>
  <dcterms:modified xsi:type="dcterms:W3CDTF">2018-11-30T22:16:00Z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